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F7A" w:rsidP="00220F7A" w:rsidRDefault="00220F7A" w14:paraId="1BA9128E" w14:textId="77777777">
      <w:pPr>
        <w:jc w:val="right"/>
        <w:rPr>
          <w:rFonts w:ascii="Calibri" w:hAnsi="Calibri" w:cs="Calibri"/>
          <w:b/>
          <w:sz w:val="36"/>
          <w:szCs w:val="48"/>
        </w:rPr>
      </w:pPr>
      <w:r w:rsidRPr="00800416">
        <w:rPr>
          <w:rFonts w:ascii="Calibri" w:hAnsi="Calibri" w:cs="Calibri"/>
          <w:b/>
          <w:noProof/>
          <w:sz w:val="48"/>
          <w:szCs w:val="48"/>
        </w:rPr>
        <w:drawing>
          <wp:inline distT="0" distB="0" distL="0" distR="0" wp14:anchorId="583AD1EE" wp14:editId="63948F58">
            <wp:extent cx="1760855" cy="777875"/>
            <wp:effectExtent l="0" t="0" r="0" b="3175"/>
            <wp:docPr id="2" name="Picture 2"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855" cy="777875"/>
                    </a:xfrm>
                    <a:prstGeom prst="rect">
                      <a:avLst/>
                    </a:prstGeom>
                    <a:noFill/>
                    <a:ln>
                      <a:noFill/>
                    </a:ln>
                  </pic:spPr>
                </pic:pic>
              </a:graphicData>
            </a:graphic>
          </wp:inline>
        </w:drawing>
      </w:r>
    </w:p>
    <w:p w:rsidRPr="00F73E9C" w:rsidR="00220F7A" w:rsidP="00220F7A" w:rsidRDefault="00220F7A" w14:paraId="40399CF7" w14:textId="13FE89F2">
      <w:pPr>
        <w:rPr>
          <w:rFonts w:ascii="Calibri" w:hAnsi="Calibri" w:cs="Calibri"/>
          <w:b/>
          <w:sz w:val="36"/>
          <w:szCs w:val="48"/>
        </w:rPr>
      </w:pPr>
      <w:r w:rsidRPr="006A5C3F">
        <w:rPr>
          <w:rFonts w:ascii="Calibri" w:hAnsi="Calibri" w:cs="Calibri"/>
          <w:b/>
          <w:sz w:val="36"/>
          <w:szCs w:val="48"/>
        </w:rPr>
        <w:t>Programme Specification Commentary</w:t>
      </w:r>
    </w:p>
    <w:p w:rsidR="00DF6192" w:rsidP="00B81E39" w:rsidRDefault="00220F7A" w14:paraId="7D477F3A" w14:textId="77777777">
      <w:pPr>
        <w:jc w:val="both"/>
        <w:rPr>
          <w:rFonts w:ascii="Calibri" w:hAnsi="Calibri" w:cs="Calibri"/>
          <w:sz w:val="20"/>
        </w:rPr>
      </w:pPr>
      <w:r w:rsidRPr="00220F7A">
        <w:rPr>
          <w:rFonts w:ascii="Calibri" w:hAnsi="Calibri" w:cs="Calibri"/>
          <w:sz w:val="20"/>
        </w:rPr>
        <w:t xml:space="preserve">The Programme Specification Commentary </w:t>
      </w:r>
      <w:r w:rsidR="00A63010">
        <w:rPr>
          <w:rFonts w:ascii="Calibri" w:hAnsi="Calibri" w:cs="Calibri"/>
          <w:sz w:val="20"/>
        </w:rPr>
        <w:t>is to</w:t>
      </w:r>
      <w:r w:rsidRPr="00220F7A">
        <w:rPr>
          <w:rFonts w:ascii="Calibri" w:hAnsi="Calibri" w:cs="Calibri"/>
          <w:sz w:val="20"/>
        </w:rPr>
        <w:t xml:space="preserve"> be read alongside the Programme Specification. </w:t>
      </w:r>
      <w:r w:rsidR="000263ED">
        <w:rPr>
          <w:rFonts w:ascii="Calibri" w:hAnsi="Calibri" w:cs="Calibri"/>
          <w:sz w:val="20"/>
        </w:rPr>
        <w:t xml:space="preserve">The purpose of the commentary is to enable </w:t>
      </w:r>
      <w:r w:rsidR="00A63010">
        <w:rPr>
          <w:rFonts w:ascii="Calibri" w:hAnsi="Calibri" w:cs="Calibri"/>
          <w:sz w:val="20"/>
        </w:rPr>
        <w:t xml:space="preserve">you to explain to the validation panel what, in terms of curriculum design, you are trying to do and why you think this is the best way to do it.  The commentary includes </w:t>
      </w:r>
      <w:proofErr w:type="gramStart"/>
      <w:r w:rsidR="00A63010">
        <w:rPr>
          <w:rFonts w:ascii="Calibri" w:hAnsi="Calibri" w:cs="Calibri"/>
          <w:sz w:val="20"/>
        </w:rPr>
        <w:t>a number of</w:t>
      </w:r>
      <w:proofErr w:type="gramEnd"/>
      <w:r w:rsidR="00A63010">
        <w:rPr>
          <w:rFonts w:ascii="Calibri" w:hAnsi="Calibri" w:cs="Calibri"/>
          <w:sz w:val="20"/>
        </w:rPr>
        <w:t xml:space="preserve"> suggested prompts for what you </w:t>
      </w:r>
      <w:r w:rsidR="002D3841">
        <w:rPr>
          <w:rFonts w:ascii="Calibri" w:hAnsi="Calibri" w:cs="Calibri"/>
          <w:sz w:val="20"/>
        </w:rPr>
        <w:t>to</w:t>
      </w:r>
      <w:r w:rsidR="00A63010">
        <w:rPr>
          <w:rFonts w:ascii="Calibri" w:hAnsi="Calibri" w:cs="Calibri"/>
          <w:sz w:val="20"/>
        </w:rPr>
        <w:t xml:space="preserve"> consider</w:t>
      </w:r>
      <w:r w:rsidR="0005705A">
        <w:rPr>
          <w:rFonts w:ascii="Calibri" w:hAnsi="Calibri" w:cs="Calibri"/>
          <w:sz w:val="20"/>
        </w:rPr>
        <w:t xml:space="preserve"> under each of the key </w:t>
      </w:r>
      <w:r w:rsidR="0057789B">
        <w:rPr>
          <w:rFonts w:ascii="Calibri" w:hAnsi="Calibri" w:cs="Calibri"/>
          <w:sz w:val="20"/>
        </w:rPr>
        <w:t>sections</w:t>
      </w:r>
      <w:r w:rsidR="0005705A">
        <w:rPr>
          <w:rFonts w:ascii="Calibri" w:hAnsi="Calibri" w:cs="Calibri"/>
          <w:sz w:val="20"/>
        </w:rPr>
        <w:t xml:space="preserve"> outlined in the Programme Specification</w:t>
      </w:r>
      <w:r w:rsidR="00A63010">
        <w:rPr>
          <w:rFonts w:ascii="Calibri" w:hAnsi="Calibri" w:cs="Calibri"/>
          <w:sz w:val="20"/>
        </w:rPr>
        <w:t xml:space="preserve">. </w:t>
      </w:r>
    </w:p>
    <w:p w:rsidR="00DF6192" w:rsidP="00B81E39" w:rsidRDefault="00DF6192" w14:paraId="3AE8C98F" w14:textId="77777777">
      <w:pPr>
        <w:jc w:val="both"/>
        <w:rPr>
          <w:rFonts w:ascii="Calibri" w:hAnsi="Calibri" w:cs="Calibri"/>
          <w:sz w:val="20"/>
        </w:rPr>
      </w:pPr>
      <w:r>
        <w:rPr>
          <w:rFonts w:ascii="Calibri" w:hAnsi="Calibri" w:cs="Calibri"/>
          <w:sz w:val="20"/>
        </w:rPr>
        <w:t>The commentary focuses on:</w:t>
      </w:r>
    </w:p>
    <w:p w:rsidRPr="00DF6192" w:rsidR="00DF6192" w:rsidP="00DF6192" w:rsidRDefault="00DF6192" w14:paraId="0F894599" w14:textId="77777777">
      <w:pPr>
        <w:pStyle w:val="ListParagraph"/>
        <w:numPr>
          <w:ilvl w:val="0"/>
          <w:numId w:val="4"/>
        </w:numPr>
        <w:jc w:val="both"/>
        <w:rPr>
          <w:rFonts w:ascii="Calibri" w:hAnsi="Calibri" w:cs="Calibri"/>
          <w:sz w:val="20"/>
        </w:rPr>
      </w:pPr>
      <w:r w:rsidRPr="00DF6192">
        <w:rPr>
          <w:rFonts w:ascii="Calibri" w:hAnsi="Calibri" w:cs="Calibri"/>
          <w:sz w:val="20"/>
        </w:rPr>
        <w:t xml:space="preserve">Programme aims and </w:t>
      </w:r>
      <w:proofErr w:type="gramStart"/>
      <w:r w:rsidRPr="00DF6192">
        <w:rPr>
          <w:rFonts w:ascii="Calibri" w:hAnsi="Calibri" w:cs="Calibri"/>
          <w:sz w:val="20"/>
        </w:rPr>
        <w:t>intended</w:t>
      </w:r>
      <w:proofErr w:type="gramEnd"/>
      <w:r w:rsidRPr="00DF6192">
        <w:rPr>
          <w:rFonts w:ascii="Calibri" w:hAnsi="Calibri" w:cs="Calibri"/>
          <w:sz w:val="20"/>
        </w:rPr>
        <w:t xml:space="preserve"> learning outcomes</w:t>
      </w:r>
    </w:p>
    <w:p w:rsidRPr="00DF6192" w:rsidR="00DF6192" w:rsidP="00DF6192" w:rsidRDefault="00DF6192" w14:paraId="203FBF79" w14:textId="77777777">
      <w:pPr>
        <w:pStyle w:val="ListParagraph"/>
        <w:numPr>
          <w:ilvl w:val="0"/>
          <w:numId w:val="4"/>
        </w:numPr>
        <w:jc w:val="both"/>
        <w:rPr>
          <w:rFonts w:ascii="Calibri" w:hAnsi="Calibri" w:cs="Calibri"/>
          <w:sz w:val="20"/>
        </w:rPr>
      </w:pPr>
      <w:r w:rsidRPr="00DF6192">
        <w:rPr>
          <w:rFonts w:ascii="Calibri" w:hAnsi="Calibri" w:cs="Calibri"/>
          <w:sz w:val="20"/>
        </w:rPr>
        <w:t xml:space="preserve">The programme </w:t>
      </w:r>
      <w:proofErr w:type="gramStart"/>
      <w:r w:rsidRPr="00DF6192">
        <w:rPr>
          <w:rFonts w:ascii="Calibri" w:hAnsi="Calibri" w:cs="Calibri"/>
          <w:sz w:val="20"/>
        </w:rPr>
        <w:t>structure</w:t>
      </w:r>
      <w:proofErr w:type="gramEnd"/>
    </w:p>
    <w:p w:rsidRPr="00DF6192" w:rsidR="00DF6192" w:rsidP="00DF6192" w:rsidRDefault="00DF6192" w14:paraId="48A143F9" w14:textId="77777777">
      <w:pPr>
        <w:pStyle w:val="ListParagraph"/>
        <w:numPr>
          <w:ilvl w:val="0"/>
          <w:numId w:val="4"/>
        </w:numPr>
        <w:jc w:val="both"/>
        <w:rPr>
          <w:rFonts w:ascii="Calibri" w:hAnsi="Calibri" w:cs="Calibri"/>
          <w:sz w:val="20"/>
        </w:rPr>
      </w:pPr>
      <w:r w:rsidRPr="00DF6192">
        <w:rPr>
          <w:rFonts w:ascii="Calibri" w:hAnsi="Calibri" w:cs="Calibri"/>
          <w:sz w:val="20"/>
        </w:rPr>
        <w:t xml:space="preserve">Teaching and learning </w:t>
      </w:r>
    </w:p>
    <w:p w:rsidRPr="00DF6192" w:rsidR="00DF6192" w:rsidP="00DF6192" w:rsidRDefault="00DF6192" w14:paraId="6DB97814" w14:textId="77777777">
      <w:pPr>
        <w:pStyle w:val="ListParagraph"/>
        <w:numPr>
          <w:ilvl w:val="0"/>
          <w:numId w:val="4"/>
        </w:numPr>
        <w:jc w:val="both"/>
        <w:rPr>
          <w:rFonts w:ascii="Calibri" w:hAnsi="Calibri" w:cs="Calibri"/>
          <w:sz w:val="20"/>
        </w:rPr>
      </w:pPr>
      <w:r w:rsidRPr="00DF6192">
        <w:rPr>
          <w:rFonts w:ascii="Calibri" w:hAnsi="Calibri" w:cs="Calibri"/>
          <w:sz w:val="20"/>
        </w:rPr>
        <w:t xml:space="preserve">Assessment </w:t>
      </w:r>
    </w:p>
    <w:p w:rsidRPr="00DF6192" w:rsidR="00DF6192" w:rsidP="00DF6192" w:rsidRDefault="00DF6192" w14:paraId="7F40822F" w14:textId="77777777">
      <w:pPr>
        <w:pStyle w:val="ListParagraph"/>
        <w:numPr>
          <w:ilvl w:val="0"/>
          <w:numId w:val="4"/>
        </w:numPr>
        <w:jc w:val="both"/>
        <w:rPr>
          <w:rFonts w:ascii="Calibri" w:hAnsi="Calibri" w:cs="Calibri"/>
          <w:sz w:val="20"/>
        </w:rPr>
      </w:pPr>
      <w:r w:rsidRPr="00DF6192">
        <w:rPr>
          <w:rFonts w:ascii="Calibri" w:hAnsi="Calibri" w:cs="Calibri"/>
          <w:sz w:val="20"/>
        </w:rPr>
        <w:t>Student support.</w:t>
      </w:r>
    </w:p>
    <w:p w:rsidRPr="0057789B" w:rsidR="0057789B" w:rsidP="00B81E39" w:rsidRDefault="00A63010" w14:paraId="68CF4D11" w14:textId="77777777">
      <w:pPr>
        <w:jc w:val="both"/>
        <w:rPr>
          <w:rFonts w:ascii="Calibri" w:hAnsi="Calibri" w:cs="Calibri"/>
          <w:sz w:val="20"/>
        </w:rPr>
      </w:pPr>
      <w:r>
        <w:rPr>
          <w:rFonts w:ascii="Calibri" w:hAnsi="Calibri" w:cs="Calibri"/>
          <w:sz w:val="20"/>
        </w:rPr>
        <w:t>The suggested prompts are not intended to be a checklist;</w:t>
      </w:r>
      <w:r w:rsidR="002D3841">
        <w:rPr>
          <w:rFonts w:ascii="Calibri" w:hAnsi="Calibri" w:cs="Calibri"/>
          <w:sz w:val="20"/>
        </w:rPr>
        <w:t xml:space="preserve"> </w:t>
      </w:r>
      <w:r>
        <w:rPr>
          <w:rFonts w:ascii="Calibri" w:hAnsi="Calibri" w:cs="Calibri"/>
          <w:sz w:val="20"/>
        </w:rPr>
        <w:t xml:space="preserve">not all prompts will be relevant to all programmes. </w:t>
      </w:r>
      <w:r w:rsidR="0057789B">
        <w:rPr>
          <w:rFonts w:ascii="Calibri" w:hAnsi="Calibri" w:cs="Calibri"/>
          <w:sz w:val="20"/>
        </w:rPr>
        <w:t xml:space="preserve">It might also make more sense to respond to some of the prompts in different sections to those suggested here. </w:t>
      </w:r>
    </w:p>
    <w:tbl>
      <w:tblPr>
        <w:tblStyle w:val="TableGrid"/>
        <w:tblW w:w="0" w:type="auto"/>
        <w:tblLook w:val="04A0" w:firstRow="1" w:lastRow="0" w:firstColumn="1" w:lastColumn="0" w:noHBand="0" w:noVBand="1"/>
      </w:tblPr>
      <w:tblGrid>
        <w:gridCol w:w="9350"/>
      </w:tblGrid>
      <w:tr w:rsidR="00220F7A" w:rsidTr="00220F7A" w14:paraId="064E4120" w14:textId="77777777">
        <w:tc>
          <w:tcPr>
            <w:tcW w:w="9350" w:type="dxa"/>
          </w:tcPr>
          <w:p w:rsidR="00220F7A" w:rsidP="002A4401" w:rsidRDefault="002A4401" w14:paraId="73CC7916" w14:textId="77777777">
            <w:pPr>
              <w:rPr>
                <w:b/>
                <w:lang w:val="en-GB"/>
              </w:rPr>
            </w:pPr>
            <w:r>
              <w:rPr>
                <w:b/>
                <w:lang w:val="en-GB"/>
              </w:rPr>
              <w:t xml:space="preserve">Programme aims and </w:t>
            </w:r>
            <w:proofErr w:type="gramStart"/>
            <w:r>
              <w:rPr>
                <w:b/>
                <w:lang w:val="en-GB"/>
              </w:rPr>
              <w:t>i</w:t>
            </w:r>
            <w:r w:rsidRPr="00B82996" w:rsidR="00220F7A">
              <w:rPr>
                <w:b/>
                <w:lang w:val="en-GB"/>
              </w:rPr>
              <w:t>ntended</w:t>
            </w:r>
            <w:proofErr w:type="gramEnd"/>
            <w:r w:rsidRPr="00B82996" w:rsidR="00220F7A">
              <w:rPr>
                <w:b/>
                <w:lang w:val="en-GB"/>
              </w:rPr>
              <w:t xml:space="preserve"> Learning </w:t>
            </w:r>
            <w:r>
              <w:rPr>
                <w:b/>
                <w:lang w:val="en-GB"/>
              </w:rPr>
              <w:t>O</w:t>
            </w:r>
            <w:r w:rsidRPr="00B82996" w:rsidR="00220F7A">
              <w:rPr>
                <w:b/>
                <w:lang w:val="en-GB"/>
              </w:rPr>
              <w:t>utcomes</w:t>
            </w:r>
            <w:r w:rsidR="002D3841">
              <w:rPr>
                <w:b/>
                <w:lang w:val="en-GB"/>
              </w:rPr>
              <w:t xml:space="preserve"> (LOs)</w:t>
            </w:r>
          </w:p>
        </w:tc>
      </w:tr>
      <w:tr w:rsidR="00220F7A" w:rsidTr="00220F7A" w14:paraId="3F17F638" w14:textId="77777777">
        <w:tc>
          <w:tcPr>
            <w:tcW w:w="9350" w:type="dxa"/>
          </w:tcPr>
          <w:p w:rsidRPr="001266E5" w:rsidR="001266E5" w:rsidP="001266E5" w:rsidRDefault="001266E5" w14:paraId="03250D1E" w14:textId="77777777">
            <w:pPr>
              <w:rPr>
                <w:lang w:val="en-GB"/>
              </w:rPr>
            </w:pPr>
            <w:r w:rsidRPr="001266E5">
              <w:rPr>
                <w:lang w:val="en-GB"/>
              </w:rPr>
              <w:t xml:space="preserve">Explain how </w:t>
            </w:r>
            <w:r w:rsidR="002A4401">
              <w:rPr>
                <w:lang w:val="en-GB"/>
              </w:rPr>
              <w:t>the programme aims and intended learning out</w:t>
            </w:r>
            <w:r w:rsidRPr="001266E5">
              <w:rPr>
                <w:lang w:val="en-GB"/>
              </w:rPr>
              <w:t>comes have been derived.  You might find it helpful to refer to:</w:t>
            </w:r>
          </w:p>
          <w:p w:rsidR="00220F7A" w:rsidP="00220F7A" w:rsidRDefault="00F35DDF" w14:paraId="3F74FCFC" w14:textId="77777777">
            <w:pPr>
              <w:pStyle w:val="ListParagraph"/>
              <w:numPr>
                <w:ilvl w:val="0"/>
                <w:numId w:val="2"/>
              </w:numPr>
              <w:rPr>
                <w:lang w:val="en-GB"/>
              </w:rPr>
            </w:pPr>
            <w:r>
              <w:rPr>
                <w:lang w:val="en-GB"/>
              </w:rPr>
              <w:t>The way in which s</w:t>
            </w:r>
            <w:r w:rsidR="001266E5">
              <w:rPr>
                <w:lang w:val="en-GB"/>
              </w:rPr>
              <w:t xml:space="preserve">ector reference points including the </w:t>
            </w:r>
            <w:hyperlink w:history="1" r:id="rId8">
              <w:r w:rsidRPr="002D3841" w:rsidR="001266E5">
                <w:rPr>
                  <w:rStyle w:val="Hyperlink"/>
                  <w:lang w:val="en-GB"/>
                </w:rPr>
                <w:t>QAA’s qualifications framework</w:t>
              </w:r>
            </w:hyperlink>
            <w:r>
              <w:rPr>
                <w:lang w:val="en-GB"/>
              </w:rPr>
              <w:t xml:space="preserve">, </w:t>
            </w:r>
            <w:hyperlink w:history="1" r:id="rId9">
              <w:r w:rsidRPr="002D3841" w:rsidR="008B4379">
                <w:rPr>
                  <w:rStyle w:val="Hyperlink"/>
                  <w:lang w:val="en-GB"/>
                </w:rPr>
                <w:t>characteristics statements</w:t>
              </w:r>
            </w:hyperlink>
            <w:r w:rsidR="008B4379">
              <w:rPr>
                <w:lang w:val="en-GB"/>
              </w:rPr>
              <w:t xml:space="preserve">, </w:t>
            </w:r>
            <w:hyperlink w:history="1" r:id="rId10">
              <w:r w:rsidRPr="002D3841">
                <w:rPr>
                  <w:rStyle w:val="Hyperlink"/>
                  <w:lang w:val="en-GB"/>
                </w:rPr>
                <w:t>QAA’s subject benchmark statements</w:t>
              </w:r>
            </w:hyperlink>
            <w:r w:rsidR="00B24941">
              <w:rPr>
                <w:lang w:val="en-GB"/>
              </w:rPr>
              <w:t xml:space="preserve"> </w:t>
            </w:r>
            <w:r w:rsidR="001266E5">
              <w:rPr>
                <w:lang w:val="en-GB"/>
              </w:rPr>
              <w:t xml:space="preserve">and the </w:t>
            </w:r>
            <w:hyperlink w:history="1" r:id="rId11">
              <w:r w:rsidRPr="002D3841" w:rsidR="001266E5">
                <w:rPr>
                  <w:rStyle w:val="Hyperlink"/>
                  <w:lang w:val="en-GB"/>
                </w:rPr>
                <w:t>SEEC level descriptors</w:t>
              </w:r>
            </w:hyperlink>
            <w:r w:rsidR="002A4401">
              <w:rPr>
                <w:lang w:val="en-GB"/>
              </w:rPr>
              <w:t xml:space="preserve"> have been used</w:t>
            </w:r>
            <w:r>
              <w:rPr>
                <w:lang w:val="en-GB"/>
              </w:rPr>
              <w:t>.</w:t>
            </w:r>
          </w:p>
          <w:p w:rsidR="00F35DDF" w:rsidP="00220F7A" w:rsidRDefault="00F35DDF" w14:paraId="061A1529" w14:textId="77777777">
            <w:pPr>
              <w:pStyle w:val="ListParagraph"/>
              <w:numPr>
                <w:ilvl w:val="0"/>
                <w:numId w:val="2"/>
              </w:numPr>
              <w:rPr>
                <w:lang w:val="en-GB"/>
              </w:rPr>
            </w:pPr>
            <w:r>
              <w:rPr>
                <w:lang w:val="en-GB"/>
              </w:rPr>
              <w:t xml:space="preserve">The influence of any </w:t>
            </w:r>
            <w:r w:rsidR="008B4379">
              <w:rPr>
                <w:lang w:val="en-GB"/>
              </w:rPr>
              <w:t xml:space="preserve">local, </w:t>
            </w:r>
            <w:proofErr w:type="gramStart"/>
            <w:r w:rsidR="008B4379">
              <w:rPr>
                <w:lang w:val="en-GB"/>
              </w:rPr>
              <w:t>national</w:t>
            </w:r>
            <w:proofErr w:type="gramEnd"/>
            <w:r w:rsidR="008B4379">
              <w:rPr>
                <w:lang w:val="en-GB"/>
              </w:rPr>
              <w:t xml:space="preserve"> or international </w:t>
            </w:r>
            <w:r>
              <w:rPr>
                <w:lang w:val="en-GB"/>
              </w:rPr>
              <w:t xml:space="preserve">policy and strategy documents on the development of the </w:t>
            </w:r>
            <w:r w:rsidR="001F763D">
              <w:rPr>
                <w:lang w:val="en-GB"/>
              </w:rPr>
              <w:t xml:space="preserve">aims and </w:t>
            </w:r>
            <w:r>
              <w:rPr>
                <w:lang w:val="en-GB"/>
              </w:rPr>
              <w:t>L</w:t>
            </w:r>
            <w:r w:rsidR="001F763D">
              <w:rPr>
                <w:lang w:val="en-GB"/>
              </w:rPr>
              <w:t>O</w:t>
            </w:r>
            <w:r>
              <w:rPr>
                <w:lang w:val="en-GB"/>
              </w:rPr>
              <w:t>s</w:t>
            </w:r>
            <w:r w:rsidR="001F763D">
              <w:rPr>
                <w:lang w:val="en-GB"/>
              </w:rPr>
              <w:t>.</w:t>
            </w:r>
          </w:p>
          <w:p w:rsidRPr="001F763D" w:rsidR="001F763D" w:rsidP="001F763D" w:rsidRDefault="00F35DDF" w14:paraId="31AA868F" w14:textId="77777777">
            <w:pPr>
              <w:pStyle w:val="ListParagraph"/>
              <w:numPr>
                <w:ilvl w:val="0"/>
                <w:numId w:val="2"/>
              </w:numPr>
              <w:rPr>
                <w:lang w:val="en-GB"/>
              </w:rPr>
            </w:pPr>
            <w:r>
              <w:rPr>
                <w:lang w:val="en-GB"/>
              </w:rPr>
              <w:t xml:space="preserve">The balance between knowledge acquisition, skills </w:t>
            </w:r>
            <w:proofErr w:type="gramStart"/>
            <w:r>
              <w:rPr>
                <w:lang w:val="en-GB"/>
              </w:rPr>
              <w:t>development</w:t>
            </w:r>
            <w:proofErr w:type="gramEnd"/>
            <w:r>
              <w:rPr>
                <w:lang w:val="en-GB"/>
              </w:rPr>
              <w:t xml:space="preserve"> and attributes with</w:t>
            </w:r>
            <w:r w:rsidR="001F763D">
              <w:rPr>
                <w:lang w:val="en-GB"/>
              </w:rPr>
              <w:t>in</w:t>
            </w:r>
            <w:r>
              <w:rPr>
                <w:lang w:val="en-GB"/>
              </w:rPr>
              <w:t xml:space="preserve"> the L</w:t>
            </w:r>
            <w:r w:rsidR="002A4401">
              <w:rPr>
                <w:lang w:val="en-GB"/>
              </w:rPr>
              <w:t>O</w:t>
            </w:r>
            <w:r>
              <w:rPr>
                <w:lang w:val="en-GB"/>
              </w:rPr>
              <w:t>s</w:t>
            </w:r>
            <w:r w:rsidR="001F763D">
              <w:rPr>
                <w:lang w:val="en-GB"/>
              </w:rPr>
              <w:t>.</w:t>
            </w:r>
          </w:p>
          <w:p w:rsidRPr="00B82996" w:rsidR="00F35DDF" w:rsidP="00220F7A" w:rsidRDefault="00F35DDF" w14:paraId="75F8EC6B" w14:textId="77777777">
            <w:pPr>
              <w:pStyle w:val="ListParagraph"/>
              <w:numPr>
                <w:ilvl w:val="0"/>
                <w:numId w:val="2"/>
              </w:numPr>
              <w:rPr>
                <w:lang w:val="en-GB"/>
              </w:rPr>
            </w:pPr>
            <w:r>
              <w:rPr>
                <w:lang w:val="en-GB"/>
              </w:rPr>
              <w:t>The way in which feedback from stakeholders has influenced the L</w:t>
            </w:r>
            <w:r w:rsidR="002A4401">
              <w:rPr>
                <w:lang w:val="en-GB"/>
              </w:rPr>
              <w:t>O</w:t>
            </w:r>
            <w:r w:rsidR="001F763D">
              <w:rPr>
                <w:lang w:val="en-GB"/>
              </w:rPr>
              <w:t>s</w:t>
            </w:r>
            <w:r w:rsidR="008B4379">
              <w:rPr>
                <w:lang w:val="en-GB"/>
              </w:rPr>
              <w:t xml:space="preserve"> (</w:t>
            </w:r>
            <w:proofErr w:type="spellStart"/>
            <w:proofErr w:type="gramStart"/>
            <w:r w:rsidR="008B4379">
              <w:rPr>
                <w:lang w:val="en-GB"/>
              </w:rPr>
              <w:t>eg</w:t>
            </w:r>
            <w:proofErr w:type="spellEnd"/>
            <w:proofErr w:type="gramEnd"/>
            <w:r w:rsidR="008B4379">
              <w:rPr>
                <w:lang w:val="en-GB"/>
              </w:rPr>
              <w:t xml:space="preserve"> cohort meetings with students, patient and service users, employers, professional networks etc)</w:t>
            </w:r>
            <w:r w:rsidR="002A4401">
              <w:rPr>
                <w:lang w:val="en-GB"/>
              </w:rPr>
              <w:t xml:space="preserve">. </w:t>
            </w:r>
          </w:p>
          <w:p w:rsidR="00BF66A7" w:rsidP="00F35DDF" w:rsidRDefault="00BF66A7" w14:paraId="155AA317" w14:textId="77777777">
            <w:pPr>
              <w:rPr>
                <w:bCs/>
                <w:lang w:val="en-GB"/>
              </w:rPr>
            </w:pPr>
          </w:p>
          <w:p w:rsidRPr="00BF66A7" w:rsidR="00BF66A7" w:rsidP="00F35DDF" w:rsidRDefault="00BF66A7" w14:paraId="2C1DDBBF" w14:textId="13E36306">
            <w:pPr>
              <w:rPr>
                <w:bCs/>
                <w:lang w:val="en-GB"/>
              </w:rPr>
            </w:pPr>
            <w:r w:rsidRPr="00BF66A7">
              <w:rPr>
                <w:bCs/>
                <w:lang w:val="en-GB"/>
              </w:rPr>
              <w:t>(150 – 300 words)</w:t>
            </w:r>
          </w:p>
          <w:p w:rsidRPr="00F35DDF" w:rsidR="00BF66A7" w:rsidP="00F35DDF" w:rsidRDefault="00BF66A7" w14:paraId="6992C838" w14:textId="4CCE9458">
            <w:pPr>
              <w:rPr>
                <w:b/>
                <w:lang w:val="en-GB"/>
              </w:rPr>
            </w:pPr>
          </w:p>
        </w:tc>
      </w:tr>
      <w:tr w:rsidR="00B24941" w:rsidTr="00220F7A" w14:paraId="5B767F60" w14:textId="77777777">
        <w:tc>
          <w:tcPr>
            <w:tcW w:w="9350" w:type="dxa"/>
          </w:tcPr>
          <w:p w:rsidRPr="00B24941" w:rsidR="00B24941" w:rsidP="001266E5" w:rsidRDefault="00B24941" w14:paraId="154D8F13" w14:textId="77777777">
            <w:pPr>
              <w:rPr>
                <w:b/>
                <w:lang w:val="en-GB"/>
              </w:rPr>
            </w:pPr>
            <w:r w:rsidRPr="00B24941">
              <w:rPr>
                <w:rFonts w:ascii="Calibri" w:hAnsi="Calibri" w:cs="Calibri"/>
                <w:b/>
              </w:rPr>
              <w:t>Programme structure and features</w:t>
            </w:r>
          </w:p>
        </w:tc>
      </w:tr>
      <w:tr w:rsidR="00B24941" w:rsidTr="00220F7A" w14:paraId="34ABCB60" w14:textId="77777777">
        <w:tc>
          <w:tcPr>
            <w:tcW w:w="9350" w:type="dxa"/>
          </w:tcPr>
          <w:p w:rsidR="008B4379" w:rsidP="008B4379" w:rsidRDefault="00B24941" w14:paraId="6C017DE8" w14:textId="77777777">
            <w:pPr>
              <w:rPr>
                <w:lang w:val="en-GB"/>
              </w:rPr>
            </w:pPr>
            <w:r>
              <w:rPr>
                <w:lang w:val="en-GB"/>
              </w:rPr>
              <w:t xml:space="preserve">The Programme Specification will </w:t>
            </w:r>
            <w:r w:rsidR="008B4379">
              <w:rPr>
                <w:lang w:val="en-GB"/>
              </w:rPr>
              <w:t>explain the structure of the programme. Please explain the rationale behind the structure. You might find it helpful to refer to:</w:t>
            </w:r>
          </w:p>
          <w:p w:rsidR="008B4379" w:rsidP="008B4379" w:rsidRDefault="008B4379" w14:paraId="10482D0A" w14:textId="77777777">
            <w:pPr>
              <w:pStyle w:val="ListParagraph"/>
              <w:numPr>
                <w:ilvl w:val="0"/>
                <w:numId w:val="2"/>
              </w:numPr>
              <w:rPr>
                <w:lang w:val="en-GB"/>
              </w:rPr>
            </w:pPr>
            <w:r>
              <w:rPr>
                <w:lang w:val="en-GB"/>
              </w:rPr>
              <w:t xml:space="preserve">The expectations of professional, </w:t>
            </w:r>
            <w:proofErr w:type="gramStart"/>
            <w:r>
              <w:rPr>
                <w:lang w:val="en-GB"/>
              </w:rPr>
              <w:t>statutory</w:t>
            </w:r>
            <w:proofErr w:type="gramEnd"/>
            <w:r>
              <w:rPr>
                <w:lang w:val="en-GB"/>
              </w:rPr>
              <w:t xml:space="preserve"> and regulatory bodies for those programmes linked to professional roles. </w:t>
            </w:r>
          </w:p>
          <w:p w:rsidR="008B4379" w:rsidP="008B4379" w:rsidRDefault="008B4379" w14:paraId="3BF48092" w14:textId="77777777">
            <w:pPr>
              <w:pStyle w:val="ListParagraph"/>
              <w:numPr>
                <w:ilvl w:val="0"/>
                <w:numId w:val="2"/>
              </w:numPr>
              <w:rPr>
                <w:lang w:val="en-GB"/>
              </w:rPr>
            </w:pPr>
            <w:r>
              <w:rPr>
                <w:lang w:val="en-GB"/>
              </w:rPr>
              <w:t>The use of credit frameworks in the development of the modular structure.</w:t>
            </w:r>
          </w:p>
          <w:p w:rsidR="00523CA7" w:rsidP="008B4379" w:rsidRDefault="00523CA7" w14:paraId="2DF533C3" w14:textId="77777777">
            <w:pPr>
              <w:pStyle w:val="ListParagraph"/>
              <w:numPr>
                <w:ilvl w:val="0"/>
                <w:numId w:val="2"/>
              </w:numPr>
              <w:rPr>
                <w:lang w:val="en-GB"/>
              </w:rPr>
            </w:pPr>
            <w:r>
              <w:rPr>
                <w:lang w:val="en-GB"/>
              </w:rPr>
              <w:t xml:space="preserve">The influence of the LOs on the </w:t>
            </w:r>
            <w:r w:rsidR="00AB0156">
              <w:rPr>
                <w:lang w:val="en-GB"/>
              </w:rPr>
              <w:t xml:space="preserve">programme </w:t>
            </w:r>
            <w:r>
              <w:rPr>
                <w:lang w:val="en-GB"/>
              </w:rPr>
              <w:t xml:space="preserve">structure. </w:t>
            </w:r>
          </w:p>
          <w:p w:rsidR="008B4379" w:rsidP="008B4379" w:rsidRDefault="008B4379" w14:paraId="32CF87B2" w14:textId="77777777">
            <w:pPr>
              <w:pStyle w:val="ListParagraph"/>
              <w:numPr>
                <w:ilvl w:val="0"/>
                <w:numId w:val="2"/>
              </w:numPr>
              <w:rPr>
                <w:lang w:val="en-GB"/>
              </w:rPr>
            </w:pPr>
            <w:r>
              <w:rPr>
                <w:lang w:val="en-GB"/>
              </w:rPr>
              <w:t>Progression through the programme and increasing intellectual demand.</w:t>
            </w:r>
          </w:p>
          <w:p w:rsidR="008B4379" w:rsidP="008B4379" w:rsidRDefault="008B4379" w14:paraId="5E9598EB" w14:textId="77777777">
            <w:pPr>
              <w:pStyle w:val="ListParagraph"/>
              <w:numPr>
                <w:ilvl w:val="0"/>
                <w:numId w:val="2"/>
              </w:numPr>
              <w:rPr>
                <w:lang w:val="en-GB"/>
              </w:rPr>
            </w:pPr>
            <w:r>
              <w:rPr>
                <w:lang w:val="en-GB"/>
              </w:rPr>
              <w:t>Key decision points for students.</w:t>
            </w:r>
          </w:p>
          <w:p w:rsidR="000263ED" w:rsidP="008B4379" w:rsidRDefault="008B4379" w14:paraId="2C1866BC" w14:textId="77777777">
            <w:pPr>
              <w:pStyle w:val="ListParagraph"/>
              <w:numPr>
                <w:ilvl w:val="0"/>
                <w:numId w:val="2"/>
              </w:numPr>
              <w:rPr>
                <w:lang w:val="en-GB"/>
              </w:rPr>
            </w:pPr>
            <w:r>
              <w:rPr>
                <w:lang w:val="en-GB"/>
              </w:rPr>
              <w:t xml:space="preserve">The balance between time spent in academic study and workplace based </w:t>
            </w:r>
            <w:proofErr w:type="gramStart"/>
            <w:r>
              <w:rPr>
                <w:lang w:val="en-GB"/>
              </w:rPr>
              <w:t>study</w:t>
            </w:r>
            <w:proofErr w:type="gramEnd"/>
          </w:p>
          <w:p w:rsidR="00AB0156" w:rsidP="008B4379" w:rsidRDefault="008B4379" w14:paraId="3F29FB56" w14:textId="77777777">
            <w:pPr>
              <w:pStyle w:val="ListParagraph"/>
              <w:numPr>
                <w:ilvl w:val="0"/>
                <w:numId w:val="2"/>
              </w:numPr>
              <w:rPr>
                <w:lang w:val="en-GB"/>
              </w:rPr>
            </w:pPr>
            <w:r>
              <w:rPr>
                <w:lang w:val="en-GB"/>
              </w:rPr>
              <w:lastRenderedPageBreak/>
              <w:t>The balance between core and option modules</w:t>
            </w:r>
          </w:p>
          <w:p w:rsidRPr="00AB0156" w:rsidR="00AB0156" w:rsidP="00AB0156" w:rsidRDefault="00AB0156" w14:paraId="489BDF31" w14:textId="77777777">
            <w:pPr>
              <w:pStyle w:val="ListParagraph"/>
              <w:numPr>
                <w:ilvl w:val="0"/>
                <w:numId w:val="2"/>
              </w:numPr>
              <w:rPr>
                <w:lang w:val="en-GB"/>
              </w:rPr>
            </w:pPr>
            <w:r>
              <w:rPr>
                <w:lang w:val="en-GB"/>
              </w:rPr>
              <w:t>Flexibility for students.</w:t>
            </w:r>
          </w:p>
          <w:p w:rsidR="00AB0156" w:rsidP="008B4379" w:rsidRDefault="00AB0156" w14:paraId="1ECE498C" w14:textId="77777777">
            <w:pPr>
              <w:pStyle w:val="ListParagraph"/>
              <w:numPr>
                <w:ilvl w:val="0"/>
                <w:numId w:val="2"/>
              </w:numPr>
              <w:rPr>
                <w:lang w:val="en-GB"/>
              </w:rPr>
            </w:pPr>
            <w:r>
              <w:rPr>
                <w:lang w:val="en-GB"/>
              </w:rPr>
              <w:t xml:space="preserve">Points at which students might enter the programme </w:t>
            </w:r>
            <w:proofErr w:type="gramStart"/>
            <w:r>
              <w:rPr>
                <w:lang w:val="en-GB"/>
              </w:rPr>
              <w:t>on the basis of</w:t>
            </w:r>
            <w:proofErr w:type="gramEnd"/>
            <w:r>
              <w:rPr>
                <w:lang w:val="en-GB"/>
              </w:rPr>
              <w:t xml:space="preserve"> prior learning</w:t>
            </w:r>
            <w:r w:rsidR="008B4379">
              <w:rPr>
                <w:lang w:val="en-GB"/>
              </w:rPr>
              <w:t>.</w:t>
            </w:r>
          </w:p>
          <w:p w:rsidRPr="008B4379" w:rsidR="008B4379" w:rsidP="008B4379" w:rsidRDefault="00AB0156" w14:paraId="6AE8452A" w14:textId="77777777">
            <w:pPr>
              <w:pStyle w:val="ListParagraph"/>
              <w:numPr>
                <w:ilvl w:val="0"/>
                <w:numId w:val="2"/>
              </w:numPr>
              <w:rPr>
                <w:lang w:val="en-GB"/>
              </w:rPr>
            </w:pPr>
            <w:r>
              <w:rPr>
                <w:lang w:val="en-GB"/>
              </w:rPr>
              <w:t xml:space="preserve">Points at which students might leave the programme with an exit qualification. </w:t>
            </w:r>
            <w:r w:rsidR="008B4379">
              <w:rPr>
                <w:lang w:val="en-GB"/>
              </w:rPr>
              <w:t xml:space="preserve"> </w:t>
            </w:r>
          </w:p>
          <w:p w:rsidR="00BF66A7" w:rsidP="008B4379" w:rsidRDefault="00BF66A7" w14:paraId="39AD5F01" w14:textId="77777777">
            <w:pPr>
              <w:rPr>
                <w:lang w:val="en-GB"/>
              </w:rPr>
            </w:pPr>
          </w:p>
          <w:p w:rsidR="00B24941" w:rsidP="008B4379" w:rsidRDefault="00BF66A7" w14:paraId="5A613095" w14:textId="372A7304">
            <w:pPr>
              <w:rPr>
                <w:lang w:val="en-GB"/>
              </w:rPr>
            </w:pPr>
            <w:r>
              <w:rPr>
                <w:lang w:val="en-GB"/>
              </w:rPr>
              <w:t>(200 -</w:t>
            </w:r>
            <w:r w:rsidR="00B24941">
              <w:rPr>
                <w:lang w:val="en-GB"/>
              </w:rPr>
              <w:t xml:space="preserve"> </w:t>
            </w:r>
            <w:r>
              <w:rPr>
                <w:lang w:val="en-GB"/>
              </w:rPr>
              <w:t>500 words)</w:t>
            </w:r>
          </w:p>
          <w:p w:rsidRPr="001266E5" w:rsidR="00BF66A7" w:rsidP="008B4379" w:rsidRDefault="00BF66A7" w14:paraId="6BB25D22" w14:textId="5649702C">
            <w:pPr>
              <w:rPr>
                <w:lang w:val="en-GB"/>
              </w:rPr>
            </w:pPr>
          </w:p>
        </w:tc>
      </w:tr>
      <w:tr w:rsidR="00220F7A" w:rsidTr="00220F7A" w14:paraId="23D8EB9A" w14:textId="77777777">
        <w:tc>
          <w:tcPr>
            <w:tcW w:w="9350" w:type="dxa"/>
          </w:tcPr>
          <w:p w:rsidR="00220F7A" w:rsidP="00220F7A" w:rsidRDefault="00220F7A" w14:paraId="3DA5FC9D" w14:textId="77777777">
            <w:pPr>
              <w:rPr>
                <w:b/>
                <w:lang w:val="en-GB"/>
              </w:rPr>
            </w:pPr>
            <w:r w:rsidRPr="00B82996">
              <w:rPr>
                <w:b/>
                <w:lang w:val="en-GB"/>
              </w:rPr>
              <w:lastRenderedPageBreak/>
              <w:t>General teaching and learning strategies</w:t>
            </w:r>
          </w:p>
        </w:tc>
      </w:tr>
      <w:tr w:rsidR="00220F7A" w:rsidTr="00220F7A" w14:paraId="2BC180A5" w14:textId="77777777">
        <w:tc>
          <w:tcPr>
            <w:tcW w:w="9350" w:type="dxa"/>
          </w:tcPr>
          <w:p w:rsidR="00523CA7" w:rsidP="00523CA7" w:rsidRDefault="00523CA7" w14:paraId="53D3413F" w14:textId="77777777">
            <w:pPr>
              <w:rPr>
                <w:lang w:val="en-GB"/>
              </w:rPr>
            </w:pPr>
            <w:r>
              <w:rPr>
                <w:lang w:val="en-GB"/>
              </w:rPr>
              <w:t xml:space="preserve">The Programme Specification will explain the general approach to learning and teaching and set out actual methods that you will be using. Please explain why you think these are the best approaches for the learners that you aim to </w:t>
            </w:r>
            <w:r w:rsidR="003F63C8">
              <w:rPr>
                <w:lang w:val="en-GB"/>
              </w:rPr>
              <w:t>recruit</w:t>
            </w:r>
            <w:r>
              <w:rPr>
                <w:lang w:val="en-GB"/>
              </w:rPr>
              <w:t>. You might find it helpful to refer to:</w:t>
            </w:r>
          </w:p>
          <w:p w:rsidR="0005705A" w:rsidP="0005705A" w:rsidRDefault="0005705A" w14:paraId="6A7AE09B" w14:textId="77777777">
            <w:pPr>
              <w:pStyle w:val="ListParagraph"/>
              <w:numPr>
                <w:ilvl w:val="0"/>
                <w:numId w:val="1"/>
              </w:numPr>
              <w:rPr>
                <w:lang w:val="en-GB"/>
              </w:rPr>
            </w:pPr>
            <w:r>
              <w:rPr>
                <w:lang w:val="en-GB"/>
              </w:rPr>
              <w:t xml:space="preserve">The pedagogic approaches that you will be </w:t>
            </w:r>
            <w:proofErr w:type="gramStart"/>
            <w:r>
              <w:rPr>
                <w:lang w:val="en-GB"/>
              </w:rPr>
              <w:t>using</w:t>
            </w:r>
            <w:proofErr w:type="gramEnd"/>
          </w:p>
          <w:p w:rsidR="0005705A" w:rsidP="0005705A" w:rsidRDefault="0005705A" w14:paraId="07078888" w14:textId="77777777">
            <w:pPr>
              <w:pStyle w:val="ListParagraph"/>
              <w:numPr>
                <w:ilvl w:val="0"/>
                <w:numId w:val="1"/>
              </w:numPr>
              <w:rPr>
                <w:lang w:val="en-GB"/>
              </w:rPr>
            </w:pPr>
            <w:r>
              <w:rPr>
                <w:lang w:val="en-GB"/>
              </w:rPr>
              <w:t>The engagement o</w:t>
            </w:r>
            <w:r w:rsidR="00AB0156">
              <w:rPr>
                <w:lang w:val="en-GB"/>
              </w:rPr>
              <w:t>f students in shaping their learn</w:t>
            </w:r>
            <w:r>
              <w:rPr>
                <w:lang w:val="en-GB"/>
              </w:rPr>
              <w:t xml:space="preserve">ing experience </w:t>
            </w:r>
          </w:p>
          <w:p w:rsidR="0005705A" w:rsidP="0005705A" w:rsidRDefault="0005705A" w14:paraId="470D844D" w14:textId="77777777">
            <w:pPr>
              <w:pStyle w:val="ListParagraph"/>
              <w:numPr>
                <w:ilvl w:val="0"/>
                <w:numId w:val="1"/>
              </w:numPr>
              <w:rPr>
                <w:lang w:val="en-GB"/>
              </w:rPr>
            </w:pPr>
            <w:r>
              <w:rPr>
                <w:lang w:val="en-GB"/>
              </w:rPr>
              <w:t xml:space="preserve">The way in which the learning and teaching strategies support </w:t>
            </w:r>
            <w:r w:rsidR="0057789B">
              <w:rPr>
                <w:lang w:val="en-GB"/>
              </w:rPr>
              <w:t xml:space="preserve">the acquisition of subject-based knowledge and skills and a broader range of transferable skills including creative and critical </w:t>
            </w:r>
            <w:proofErr w:type="gramStart"/>
            <w:r w:rsidR="0057789B">
              <w:rPr>
                <w:lang w:val="en-GB"/>
              </w:rPr>
              <w:t>thinking</w:t>
            </w:r>
            <w:proofErr w:type="gramEnd"/>
          </w:p>
          <w:p w:rsidRPr="00B82996" w:rsidR="0057789B" w:rsidP="0005705A" w:rsidRDefault="0057789B" w14:paraId="6C994EF8" w14:textId="77777777">
            <w:pPr>
              <w:pStyle w:val="ListParagraph"/>
              <w:numPr>
                <w:ilvl w:val="0"/>
                <w:numId w:val="1"/>
              </w:numPr>
              <w:rPr>
                <w:lang w:val="en-GB"/>
              </w:rPr>
            </w:pPr>
            <w:r>
              <w:rPr>
                <w:lang w:val="en-GB"/>
              </w:rPr>
              <w:t>The approach to enhanc</w:t>
            </w:r>
            <w:r w:rsidR="00AB0156">
              <w:rPr>
                <w:lang w:val="en-GB"/>
              </w:rPr>
              <w:t>ing</w:t>
            </w:r>
            <w:r>
              <w:rPr>
                <w:lang w:val="en-GB"/>
              </w:rPr>
              <w:t xml:space="preserve"> </w:t>
            </w:r>
            <w:proofErr w:type="gramStart"/>
            <w:r>
              <w:rPr>
                <w:lang w:val="en-GB"/>
              </w:rPr>
              <w:t>employability</w:t>
            </w:r>
            <w:proofErr w:type="gramEnd"/>
          </w:p>
          <w:p w:rsidR="003F63C8" w:rsidP="003F63C8" w:rsidRDefault="003F63C8" w14:paraId="5077677E" w14:textId="77777777">
            <w:pPr>
              <w:pStyle w:val="ListParagraph"/>
              <w:numPr>
                <w:ilvl w:val="0"/>
                <w:numId w:val="1"/>
              </w:numPr>
              <w:rPr>
                <w:lang w:val="en-GB"/>
              </w:rPr>
            </w:pPr>
            <w:r>
              <w:rPr>
                <w:lang w:val="en-GB"/>
              </w:rPr>
              <w:t xml:space="preserve">Inclusivity issues and the extent to which the preferred approach will meet </w:t>
            </w:r>
            <w:r w:rsidRPr="00B82996" w:rsidR="00220F7A">
              <w:rPr>
                <w:lang w:val="en-GB"/>
              </w:rPr>
              <w:t>the needs of all learners</w:t>
            </w:r>
            <w:r w:rsidR="0057789B">
              <w:rPr>
                <w:lang w:val="en-GB"/>
              </w:rPr>
              <w:t xml:space="preserve"> and eliminates potential disadvantage</w:t>
            </w:r>
            <w:r w:rsidRPr="00B82996" w:rsidR="00220F7A">
              <w:rPr>
                <w:lang w:val="en-GB"/>
              </w:rPr>
              <w:t>,</w:t>
            </w:r>
          </w:p>
          <w:p w:rsidR="00E72E0F" w:rsidP="003F63C8" w:rsidRDefault="00E72E0F" w14:paraId="0FCA4017" w14:textId="77777777">
            <w:pPr>
              <w:pStyle w:val="ListParagraph"/>
              <w:numPr>
                <w:ilvl w:val="0"/>
                <w:numId w:val="1"/>
              </w:numPr>
              <w:rPr>
                <w:lang w:val="en-GB"/>
              </w:rPr>
            </w:pPr>
            <w:r>
              <w:rPr>
                <w:lang w:val="en-GB"/>
              </w:rPr>
              <w:t>The extent of co-teaching of students on more than one programme and across academic levels,</w:t>
            </w:r>
          </w:p>
          <w:p w:rsidR="00220F7A" w:rsidP="0005705A" w:rsidRDefault="0005705A" w14:paraId="5D097ABC" w14:textId="77777777">
            <w:pPr>
              <w:pStyle w:val="ListParagraph"/>
              <w:numPr>
                <w:ilvl w:val="0"/>
                <w:numId w:val="1"/>
              </w:numPr>
              <w:rPr>
                <w:lang w:val="en-GB"/>
              </w:rPr>
            </w:pPr>
            <w:r>
              <w:rPr>
                <w:lang w:val="en-GB"/>
              </w:rPr>
              <w:t>The overall w</w:t>
            </w:r>
            <w:r w:rsidR="003F63C8">
              <w:rPr>
                <w:lang w:val="en-GB"/>
              </w:rPr>
              <w:t>ork</w:t>
            </w:r>
            <w:r>
              <w:rPr>
                <w:lang w:val="en-GB"/>
              </w:rPr>
              <w:t>load for students.</w:t>
            </w:r>
          </w:p>
          <w:p w:rsidR="00AB0156" w:rsidP="0005705A" w:rsidRDefault="0057789B" w14:paraId="4FB669F8" w14:textId="77777777">
            <w:pPr>
              <w:pStyle w:val="ListParagraph"/>
              <w:numPr>
                <w:ilvl w:val="0"/>
                <w:numId w:val="1"/>
              </w:numPr>
              <w:rPr>
                <w:lang w:val="en-GB"/>
              </w:rPr>
            </w:pPr>
            <w:r>
              <w:rPr>
                <w:lang w:val="en-GB"/>
              </w:rPr>
              <w:t>The role of technology in learning</w:t>
            </w:r>
          </w:p>
          <w:p w:rsidR="0057789B" w:rsidP="0005705A" w:rsidRDefault="00AB0156" w14:paraId="240C299C" w14:textId="77777777">
            <w:pPr>
              <w:pStyle w:val="ListParagraph"/>
              <w:numPr>
                <w:ilvl w:val="0"/>
                <w:numId w:val="1"/>
              </w:numPr>
              <w:rPr>
                <w:lang w:val="en-GB"/>
              </w:rPr>
            </w:pPr>
            <w:r>
              <w:rPr>
                <w:lang w:val="en-GB"/>
              </w:rPr>
              <w:t>How the overall approach will be applied at module level</w:t>
            </w:r>
            <w:r w:rsidR="0057789B">
              <w:rPr>
                <w:lang w:val="en-GB"/>
              </w:rPr>
              <w:t xml:space="preserve">. </w:t>
            </w:r>
          </w:p>
          <w:p w:rsidRPr="002D3841" w:rsidR="002D3841" w:rsidP="002D3841" w:rsidRDefault="002D3841" w14:paraId="01A50956" w14:textId="77777777">
            <w:pPr>
              <w:ind w:left="360"/>
              <w:rPr>
                <w:lang w:val="en-GB"/>
              </w:rPr>
            </w:pPr>
          </w:p>
          <w:p w:rsidR="00220F7A" w:rsidRDefault="003F63C8" w14:paraId="3363DC8B" w14:textId="77777777">
            <w:pPr>
              <w:rPr>
                <w:lang w:val="en-GB"/>
              </w:rPr>
            </w:pPr>
            <w:r w:rsidRPr="003F63C8">
              <w:rPr>
                <w:lang w:val="en-GB"/>
              </w:rPr>
              <w:t xml:space="preserve">The QAA’s advice </w:t>
            </w:r>
            <w:r>
              <w:rPr>
                <w:lang w:val="en-GB"/>
              </w:rPr>
              <w:t xml:space="preserve">and guidance </w:t>
            </w:r>
            <w:r w:rsidRPr="003F63C8">
              <w:rPr>
                <w:lang w:val="en-GB"/>
              </w:rPr>
              <w:t xml:space="preserve">on learning and teaching can be found </w:t>
            </w:r>
            <w:hyperlink w:history="1" r:id="rId12">
              <w:r w:rsidRPr="003F63C8">
                <w:rPr>
                  <w:rStyle w:val="Hyperlink"/>
                  <w:lang w:val="en-GB"/>
                </w:rPr>
                <w:t>here</w:t>
              </w:r>
            </w:hyperlink>
            <w:r w:rsidRPr="003F63C8">
              <w:rPr>
                <w:lang w:val="en-GB"/>
              </w:rPr>
              <w:t xml:space="preserve">. </w:t>
            </w:r>
          </w:p>
          <w:p w:rsidR="002D3841" w:rsidRDefault="002D3841" w14:paraId="2E01439B" w14:textId="77777777">
            <w:pPr>
              <w:rPr>
                <w:lang w:val="en-GB"/>
              </w:rPr>
            </w:pPr>
          </w:p>
          <w:p w:rsidR="008A20F8" w:rsidRDefault="008A20F8" w14:paraId="5B137410" w14:textId="02028294">
            <w:pPr>
              <w:rPr>
                <w:lang w:val="en-GB"/>
              </w:rPr>
            </w:pPr>
            <w:r>
              <w:rPr>
                <w:lang w:val="en-GB"/>
              </w:rPr>
              <w:t>(250 – 500 words)</w:t>
            </w:r>
          </w:p>
          <w:p w:rsidRPr="003F63C8" w:rsidR="008A20F8" w:rsidRDefault="008A20F8" w14:paraId="19109219" w14:textId="018B60F6">
            <w:pPr>
              <w:rPr>
                <w:lang w:val="en-GB"/>
              </w:rPr>
            </w:pPr>
          </w:p>
        </w:tc>
      </w:tr>
      <w:tr w:rsidR="00220F7A" w:rsidTr="00220F7A" w14:paraId="3D637731" w14:textId="77777777">
        <w:tc>
          <w:tcPr>
            <w:tcW w:w="9350" w:type="dxa"/>
          </w:tcPr>
          <w:p w:rsidR="00220F7A" w:rsidP="00220F7A" w:rsidRDefault="00220F7A" w14:paraId="3970F493" w14:textId="77777777">
            <w:pPr>
              <w:rPr>
                <w:b/>
                <w:lang w:val="en-GB"/>
              </w:rPr>
            </w:pPr>
            <w:r w:rsidRPr="0090761E">
              <w:rPr>
                <w:b/>
                <w:lang w:val="en-GB"/>
              </w:rPr>
              <w:t>Assessment</w:t>
            </w:r>
          </w:p>
        </w:tc>
      </w:tr>
      <w:tr w:rsidR="00220F7A" w:rsidTr="00220F7A" w14:paraId="45862C32" w14:textId="77777777">
        <w:tc>
          <w:tcPr>
            <w:tcW w:w="9350" w:type="dxa"/>
          </w:tcPr>
          <w:p w:rsidR="00220F7A" w:rsidP="00220F7A" w:rsidRDefault="0057789B" w14:paraId="2BE07568" w14:textId="77777777">
            <w:pPr>
              <w:rPr>
                <w:b/>
                <w:lang w:val="en-GB"/>
              </w:rPr>
            </w:pPr>
            <w:r>
              <w:rPr>
                <w:lang w:val="en-GB"/>
              </w:rPr>
              <w:t xml:space="preserve">The Programme Specification will explain the strategic approach to assessment and the </w:t>
            </w:r>
            <w:proofErr w:type="gramStart"/>
            <w:r>
              <w:rPr>
                <w:lang w:val="en-GB"/>
              </w:rPr>
              <w:t>particular methods</w:t>
            </w:r>
            <w:proofErr w:type="gramEnd"/>
            <w:r>
              <w:rPr>
                <w:lang w:val="en-GB"/>
              </w:rPr>
              <w:t xml:space="preserve"> that you will be using to assess student achievement. </w:t>
            </w:r>
            <w:r w:rsidR="000E2908">
              <w:rPr>
                <w:lang w:val="en-GB"/>
              </w:rPr>
              <w:t xml:space="preserve">Assessment must be consistent, </w:t>
            </w:r>
            <w:proofErr w:type="gramStart"/>
            <w:r w:rsidR="000E2908">
              <w:rPr>
                <w:lang w:val="en-GB"/>
              </w:rPr>
              <w:t>fair</w:t>
            </w:r>
            <w:proofErr w:type="gramEnd"/>
            <w:r w:rsidR="000E2908">
              <w:rPr>
                <w:lang w:val="en-GB"/>
              </w:rPr>
              <w:t xml:space="preserve"> and valid. </w:t>
            </w:r>
            <w:proofErr w:type="gramStart"/>
            <w:r w:rsidR="000E2908">
              <w:rPr>
                <w:lang w:val="en-GB"/>
              </w:rPr>
              <w:t>With this in mind please</w:t>
            </w:r>
            <w:proofErr w:type="gramEnd"/>
            <w:r w:rsidR="000E2908">
              <w:rPr>
                <w:lang w:val="en-GB"/>
              </w:rPr>
              <w:t xml:space="preserve"> explain why you have chosen the methods that you will use. You might find helpful to refer to:</w:t>
            </w:r>
          </w:p>
          <w:p w:rsidRPr="0090761E" w:rsidR="00220F7A" w:rsidP="00283C05" w:rsidRDefault="000E2908" w14:paraId="5D04F21E" w14:textId="77777777">
            <w:pPr>
              <w:pStyle w:val="ListParagraph"/>
              <w:numPr>
                <w:ilvl w:val="0"/>
                <w:numId w:val="1"/>
              </w:numPr>
              <w:rPr>
                <w:lang w:val="en-GB"/>
              </w:rPr>
            </w:pPr>
            <w:r>
              <w:rPr>
                <w:lang w:val="en-GB"/>
              </w:rPr>
              <w:t>How assessments and assessment criteria are used to determine whether students have achieved the intended</w:t>
            </w:r>
            <w:r w:rsidRPr="0090761E" w:rsidR="00220F7A">
              <w:rPr>
                <w:lang w:val="en-GB"/>
              </w:rPr>
              <w:t xml:space="preserve"> learning outcomes, </w:t>
            </w:r>
          </w:p>
          <w:p w:rsidR="00220F7A" w:rsidP="00283C05" w:rsidRDefault="000E2908" w14:paraId="437C2287" w14:textId="77777777">
            <w:pPr>
              <w:pStyle w:val="ListParagraph"/>
              <w:numPr>
                <w:ilvl w:val="0"/>
                <w:numId w:val="1"/>
              </w:numPr>
              <w:rPr>
                <w:lang w:val="en-GB"/>
              </w:rPr>
            </w:pPr>
            <w:r w:rsidRPr="00B82996">
              <w:rPr>
                <w:lang w:val="en-GB"/>
              </w:rPr>
              <w:t>Equivalence</w:t>
            </w:r>
            <w:r w:rsidRPr="00B82996" w:rsidR="00220F7A">
              <w:rPr>
                <w:lang w:val="en-GB"/>
              </w:rPr>
              <w:t xml:space="preserve"> between modules.</w:t>
            </w:r>
          </w:p>
          <w:p w:rsidR="00BF1AE5" w:rsidP="00283C05" w:rsidRDefault="00BF1AE5" w14:paraId="0C456AC4" w14:textId="77777777">
            <w:pPr>
              <w:pStyle w:val="ListParagraph"/>
              <w:numPr>
                <w:ilvl w:val="0"/>
                <w:numId w:val="1"/>
              </w:numPr>
              <w:rPr>
                <w:lang w:val="en-GB"/>
              </w:rPr>
            </w:pPr>
            <w:r>
              <w:rPr>
                <w:lang w:val="en-GB"/>
              </w:rPr>
              <w:t xml:space="preserve">How the assessment differentiates between different levels of performance and encourages students to achieve their best work. </w:t>
            </w:r>
          </w:p>
          <w:p w:rsidR="00BF1AE5" w:rsidP="00283C05" w:rsidRDefault="00BF1AE5" w14:paraId="5E1D8CE3" w14:textId="77777777">
            <w:pPr>
              <w:pStyle w:val="ListParagraph"/>
              <w:numPr>
                <w:ilvl w:val="0"/>
                <w:numId w:val="1"/>
              </w:numPr>
              <w:rPr>
                <w:lang w:val="en-GB"/>
              </w:rPr>
            </w:pPr>
            <w:r>
              <w:rPr>
                <w:lang w:val="en-GB"/>
              </w:rPr>
              <w:t>How you ensure that no student is disadvantaged by the assessment process.</w:t>
            </w:r>
          </w:p>
          <w:p w:rsidR="000E2908" w:rsidP="00283C05" w:rsidRDefault="000E2908" w14:paraId="2EB2B656" w14:textId="77777777">
            <w:pPr>
              <w:pStyle w:val="ListParagraph"/>
              <w:numPr>
                <w:ilvl w:val="0"/>
                <w:numId w:val="1"/>
              </w:numPr>
              <w:rPr>
                <w:lang w:val="en-GB"/>
              </w:rPr>
            </w:pPr>
            <w:r>
              <w:rPr>
                <w:lang w:val="en-GB"/>
              </w:rPr>
              <w:t xml:space="preserve">The volume and timing of assessments </w:t>
            </w:r>
          </w:p>
          <w:p w:rsidR="00220F7A" w:rsidP="00283C05" w:rsidRDefault="000E2908" w14:paraId="1909BADD" w14:textId="77777777">
            <w:pPr>
              <w:pStyle w:val="ListParagraph"/>
              <w:numPr>
                <w:ilvl w:val="0"/>
                <w:numId w:val="1"/>
              </w:numPr>
              <w:rPr>
                <w:rFonts w:ascii="Calibri" w:hAnsi="Calibri" w:cs="Calibri"/>
              </w:rPr>
            </w:pPr>
            <w:r>
              <w:rPr>
                <w:rFonts w:ascii="Calibri" w:hAnsi="Calibri" w:cs="Calibri"/>
              </w:rPr>
              <w:t>The approach to</w:t>
            </w:r>
            <w:r w:rsidRPr="0090761E" w:rsidR="00220F7A">
              <w:rPr>
                <w:rFonts w:ascii="Calibri" w:hAnsi="Calibri" w:cs="Calibri"/>
              </w:rPr>
              <w:t xml:space="preserve"> </w:t>
            </w:r>
            <w:r>
              <w:rPr>
                <w:rFonts w:ascii="Calibri" w:hAnsi="Calibri" w:cs="Calibri"/>
              </w:rPr>
              <w:t>formative assessment.</w:t>
            </w:r>
          </w:p>
          <w:p w:rsidR="000E2908" w:rsidP="00283C05" w:rsidRDefault="000E2908" w14:paraId="25527DEA" w14:textId="77777777">
            <w:pPr>
              <w:pStyle w:val="ListParagraph"/>
              <w:numPr>
                <w:ilvl w:val="0"/>
                <w:numId w:val="1"/>
              </w:numPr>
              <w:rPr>
                <w:rFonts w:ascii="Calibri" w:hAnsi="Calibri" w:cs="Calibri"/>
              </w:rPr>
            </w:pPr>
            <w:r>
              <w:rPr>
                <w:rFonts w:ascii="Calibri" w:hAnsi="Calibri" w:cs="Calibri"/>
              </w:rPr>
              <w:t>The use of standard setting methodologies.</w:t>
            </w:r>
          </w:p>
          <w:p w:rsidR="00BF1AE5" w:rsidP="00283C05" w:rsidRDefault="00BF1AE5" w14:paraId="68B53460" w14:textId="77777777">
            <w:pPr>
              <w:pStyle w:val="ListParagraph"/>
              <w:numPr>
                <w:ilvl w:val="0"/>
                <w:numId w:val="1"/>
              </w:numPr>
              <w:rPr>
                <w:rFonts w:ascii="Calibri" w:hAnsi="Calibri" w:cs="Calibri"/>
              </w:rPr>
            </w:pPr>
            <w:r>
              <w:rPr>
                <w:rFonts w:ascii="Calibri" w:hAnsi="Calibri" w:cs="Calibri"/>
              </w:rPr>
              <w:t xml:space="preserve">How students know what </w:t>
            </w:r>
            <w:proofErr w:type="gramStart"/>
            <w:r>
              <w:rPr>
                <w:rFonts w:ascii="Calibri" w:hAnsi="Calibri" w:cs="Calibri"/>
              </w:rPr>
              <w:t>is</w:t>
            </w:r>
            <w:proofErr w:type="gramEnd"/>
            <w:r>
              <w:rPr>
                <w:rFonts w:ascii="Calibri" w:hAnsi="Calibri" w:cs="Calibri"/>
              </w:rPr>
              <w:t xml:space="preserve"> expected them. </w:t>
            </w:r>
          </w:p>
          <w:p w:rsidR="000E2908" w:rsidP="00283C05" w:rsidRDefault="000E2908" w14:paraId="0AA733D3" w14:textId="77777777">
            <w:pPr>
              <w:pStyle w:val="ListParagraph"/>
              <w:numPr>
                <w:ilvl w:val="0"/>
                <w:numId w:val="1"/>
              </w:numPr>
              <w:rPr>
                <w:rFonts w:ascii="Calibri" w:hAnsi="Calibri" w:cs="Calibri"/>
              </w:rPr>
            </w:pPr>
            <w:r>
              <w:rPr>
                <w:rFonts w:ascii="Calibri" w:hAnsi="Calibri" w:cs="Calibri"/>
              </w:rPr>
              <w:t>The way in which feedback will be used to support academic development.</w:t>
            </w:r>
          </w:p>
          <w:p w:rsidR="00D53527" w:rsidP="00283C05" w:rsidRDefault="00D53527" w14:paraId="59AD1D37" w14:textId="60306D50">
            <w:pPr>
              <w:pStyle w:val="ListParagraph"/>
              <w:numPr>
                <w:ilvl w:val="0"/>
                <w:numId w:val="1"/>
              </w:numPr>
              <w:rPr>
                <w:lang w:val="en-GB"/>
              </w:rPr>
            </w:pPr>
            <w:r>
              <w:rPr>
                <w:lang w:val="en-GB"/>
              </w:rPr>
              <w:t xml:space="preserve">How the choice of methods will </w:t>
            </w:r>
            <w:r w:rsidRPr="00B82996">
              <w:rPr>
                <w:lang w:val="en-GB"/>
              </w:rPr>
              <w:t xml:space="preserve">facilitate </w:t>
            </w:r>
            <w:r>
              <w:rPr>
                <w:lang w:val="en-GB"/>
              </w:rPr>
              <w:t xml:space="preserve">the </w:t>
            </w:r>
            <w:r w:rsidRPr="00B82996">
              <w:rPr>
                <w:lang w:val="en-GB"/>
              </w:rPr>
              <w:t xml:space="preserve">provision of </w:t>
            </w:r>
            <w:r>
              <w:rPr>
                <w:lang w:val="en-GB"/>
              </w:rPr>
              <w:t xml:space="preserve">effective and timely </w:t>
            </w:r>
            <w:r w:rsidRPr="00B82996">
              <w:rPr>
                <w:lang w:val="en-GB"/>
              </w:rPr>
              <w:t>feedback</w:t>
            </w:r>
            <w:r w:rsidR="00283C05">
              <w:rPr>
                <w:lang w:val="en-GB"/>
              </w:rPr>
              <w:t>.</w:t>
            </w:r>
          </w:p>
          <w:p w:rsidRPr="00283C05" w:rsidR="00283C05" w:rsidP="00283C05" w:rsidRDefault="00283C05" w14:paraId="3E2F8ECE" w14:textId="51A8036A">
            <w:pPr>
              <w:pStyle w:val="ListParagraph"/>
              <w:numPr>
                <w:ilvl w:val="0"/>
                <w:numId w:val="1"/>
              </w:numPr>
              <w:jc w:val="both"/>
              <w:rPr>
                <w:rFonts w:ascii="Calibri" w:hAnsi="Calibri" w:cs="Calibri"/>
              </w:rPr>
            </w:pPr>
            <w:r w:rsidRPr="00283C05">
              <w:rPr>
                <w:rFonts w:ascii="Calibri" w:hAnsi="Calibri" w:cs="Calibri"/>
              </w:rPr>
              <w:lastRenderedPageBreak/>
              <w:t>W</w:t>
            </w:r>
            <w:r w:rsidRPr="00283C05">
              <w:rPr>
                <w:rFonts w:ascii="Calibri" w:hAnsi="Calibri" w:cs="Calibri"/>
              </w:rPr>
              <w:t xml:space="preserve">hat measures will </w:t>
            </w:r>
            <w:r w:rsidRPr="00283C05">
              <w:rPr>
                <w:rFonts w:ascii="Calibri" w:hAnsi="Calibri" w:cs="Calibri"/>
              </w:rPr>
              <w:t xml:space="preserve">be </w:t>
            </w:r>
            <w:r w:rsidRPr="00283C05">
              <w:rPr>
                <w:rFonts w:ascii="Calibri" w:hAnsi="Calibri" w:cs="Calibri"/>
              </w:rPr>
              <w:t xml:space="preserve">put in place to authenticate students’ work, particularly where the assessment is conducted through remote means, and how students </w:t>
            </w:r>
            <w:r w:rsidRPr="00283C05">
              <w:rPr>
                <w:rFonts w:ascii="Calibri" w:hAnsi="Calibri" w:cs="Calibri"/>
              </w:rPr>
              <w:t xml:space="preserve">will be trained </w:t>
            </w:r>
            <w:r w:rsidRPr="00283C05">
              <w:rPr>
                <w:rFonts w:ascii="Calibri" w:hAnsi="Calibri" w:cs="Calibri"/>
              </w:rPr>
              <w:t>in the avoidance of academic misconduct.</w:t>
            </w:r>
          </w:p>
          <w:p w:rsidRPr="000E2908" w:rsidR="000E2908" w:rsidP="000E2908" w:rsidRDefault="000E2908" w14:paraId="4B7BDD2D" w14:textId="77777777">
            <w:pPr>
              <w:ind w:left="360"/>
              <w:rPr>
                <w:rFonts w:ascii="Calibri" w:hAnsi="Calibri" w:cs="Calibri"/>
              </w:rPr>
            </w:pPr>
          </w:p>
          <w:p w:rsidR="00220F7A" w:rsidP="003F63C8" w:rsidRDefault="003F63C8" w14:paraId="69E0D1AD" w14:textId="5329B5A0">
            <w:pPr>
              <w:rPr>
                <w:lang w:val="en-GB"/>
              </w:rPr>
            </w:pPr>
            <w:r w:rsidRPr="003F63C8">
              <w:rPr>
                <w:lang w:val="en-GB"/>
              </w:rPr>
              <w:t xml:space="preserve">The QAA’s advice </w:t>
            </w:r>
            <w:r>
              <w:rPr>
                <w:lang w:val="en-GB"/>
              </w:rPr>
              <w:t xml:space="preserve">and guidance </w:t>
            </w:r>
            <w:r w:rsidRPr="003F63C8">
              <w:rPr>
                <w:lang w:val="en-GB"/>
              </w:rPr>
              <w:t xml:space="preserve">on </w:t>
            </w:r>
            <w:r>
              <w:rPr>
                <w:lang w:val="en-GB"/>
              </w:rPr>
              <w:t>assessment</w:t>
            </w:r>
            <w:r w:rsidRPr="003F63C8">
              <w:rPr>
                <w:lang w:val="en-GB"/>
              </w:rPr>
              <w:t xml:space="preserve"> can be found</w:t>
            </w:r>
            <w:r w:rsidR="0057789B">
              <w:rPr>
                <w:lang w:val="en-GB"/>
              </w:rPr>
              <w:t xml:space="preserve"> </w:t>
            </w:r>
            <w:hyperlink w:history="1" r:id="rId13">
              <w:r w:rsidRPr="0057789B" w:rsidR="0057789B">
                <w:rPr>
                  <w:rStyle w:val="Hyperlink"/>
                  <w:lang w:val="en-GB"/>
                </w:rPr>
                <w:t>here</w:t>
              </w:r>
            </w:hyperlink>
            <w:r w:rsidR="0057789B">
              <w:rPr>
                <w:lang w:val="en-GB"/>
              </w:rPr>
              <w:t>.</w:t>
            </w:r>
          </w:p>
          <w:p w:rsidR="00DE04D3" w:rsidP="003F63C8" w:rsidRDefault="00DE04D3" w14:paraId="022991BF" w14:textId="2C2F09CE">
            <w:pPr>
              <w:rPr>
                <w:lang w:val="en-GB"/>
              </w:rPr>
            </w:pPr>
            <w:r>
              <w:rPr>
                <w:lang w:val="en-GB"/>
              </w:rPr>
              <w:t xml:space="preserve">The NUS Assessment and Feedback Benchmarking Tool can be found </w:t>
            </w:r>
            <w:hyperlink w:history="1" r:id="rId14">
              <w:r w:rsidRPr="00DE04D3">
                <w:rPr>
                  <w:rStyle w:val="Hyperlink"/>
                  <w:lang w:val="en-GB"/>
                </w:rPr>
                <w:t>here</w:t>
              </w:r>
            </w:hyperlink>
            <w:r>
              <w:rPr>
                <w:lang w:val="en-GB"/>
              </w:rPr>
              <w:t>.</w:t>
            </w:r>
          </w:p>
          <w:p w:rsidR="002D3841" w:rsidP="003F63C8" w:rsidRDefault="002D3841" w14:paraId="402A5A19" w14:textId="77777777">
            <w:pPr>
              <w:rPr>
                <w:b/>
                <w:lang w:val="en-GB"/>
              </w:rPr>
            </w:pPr>
          </w:p>
          <w:p w:rsidR="008A20F8" w:rsidP="008A20F8" w:rsidRDefault="008A20F8" w14:paraId="2FA891DE" w14:textId="77777777">
            <w:pPr>
              <w:rPr>
                <w:lang w:val="en-GB"/>
              </w:rPr>
            </w:pPr>
            <w:r>
              <w:rPr>
                <w:lang w:val="en-GB"/>
              </w:rPr>
              <w:t>(250 – 500 words)</w:t>
            </w:r>
          </w:p>
          <w:p w:rsidR="008A20F8" w:rsidP="003F63C8" w:rsidRDefault="008A20F8" w14:paraId="70D8BAE1" w14:textId="1BB3149C">
            <w:pPr>
              <w:rPr>
                <w:b/>
                <w:lang w:val="en-GB"/>
              </w:rPr>
            </w:pPr>
          </w:p>
        </w:tc>
      </w:tr>
      <w:tr w:rsidR="00AB0156" w:rsidTr="00220F7A" w14:paraId="6D7E113E" w14:textId="77777777">
        <w:tc>
          <w:tcPr>
            <w:tcW w:w="9350" w:type="dxa"/>
          </w:tcPr>
          <w:p w:rsidRPr="002D3841" w:rsidR="00AB0156" w:rsidP="00220F7A" w:rsidRDefault="00AB0156" w14:paraId="475A47B7" w14:textId="77777777">
            <w:pPr>
              <w:rPr>
                <w:b/>
                <w:lang w:val="en-GB"/>
              </w:rPr>
            </w:pPr>
            <w:r w:rsidRPr="002D3841">
              <w:rPr>
                <w:rFonts w:ascii="Calibri" w:hAnsi="Calibri" w:cs="Calibri"/>
                <w:b/>
              </w:rPr>
              <w:lastRenderedPageBreak/>
              <w:t>Support for students and their learning</w:t>
            </w:r>
          </w:p>
        </w:tc>
      </w:tr>
      <w:tr w:rsidR="00AB0156" w:rsidTr="00220F7A" w14:paraId="47A2C869" w14:textId="77777777">
        <w:tc>
          <w:tcPr>
            <w:tcW w:w="9350" w:type="dxa"/>
          </w:tcPr>
          <w:p w:rsidR="00AB0156" w:rsidP="00220F7A" w:rsidRDefault="00DF725A" w14:paraId="18686898" w14:textId="5D3F0FC6">
            <w:pPr>
              <w:rPr>
                <w:lang w:val="en-GB"/>
              </w:rPr>
            </w:pPr>
            <w:r>
              <w:rPr>
                <w:lang w:val="en-GB"/>
              </w:rPr>
              <w:t xml:space="preserve">The Programme Specification will </w:t>
            </w:r>
            <w:r>
              <w:rPr>
                <w:rFonts w:ascii="Calibri" w:hAnsi="Calibri" w:cs="Calibri"/>
              </w:rPr>
              <w:t>outline the sources of advice and support available to students and the way in which students are made aware of those sources of advice</w:t>
            </w:r>
            <w:r>
              <w:rPr>
                <w:lang w:val="en-GB"/>
              </w:rPr>
              <w:t>.  Some of these sources of advice and support will be provided at programme level and others will be provided centrally by experts and expert teams. In this section</w:t>
            </w:r>
            <w:r w:rsidR="00634199">
              <w:rPr>
                <w:lang w:val="en-GB"/>
              </w:rPr>
              <w:t>, you</w:t>
            </w:r>
            <w:r>
              <w:rPr>
                <w:lang w:val="en-GB"/>
              </w:rPr>
              <w:t xml:space="preserve"> are asked to anticipate </w:t>
            </w:r>
            <w:r w:rsidR="00634199">
              <w:rPr>
                <w:lang w:val="en-GB"/>
              </w:rPr>
              <w:t xml:space="preserve">students’ key support needs and explain how these will be met. </w:t>
            </w:r>
            <w:r>
              <w:rPr>
                <w:lang w:val="en-GB"/>
              </w:rPr>
              <w:t>You might find it helpful to refer to</w:t>
            </w:r>
            <w:r w:rsidR="007C378F">
              <w:rPr>
                <w:lang w:val="en-GB"/>
              </w:rPr>
              <w:t>:</w:t>
            </w:r>
          </w:p>
          <w:p w:rsidRPr="007C378F" w:rsidR="007C378F" w:rsidP="007C378F" w:rsidRDefault="007C378F" w14:paraId="78814670" w14:textId="77777777">
            <w:pPr>
              <w:pStyle w:val="ListParagraph"/>
              <w:numPr>
                <w:ilvl w:val="0"/>
                <w:numId w:val="3"/>
              </w:numPr>
              <w:rPr>
                <w:lang w:val="en-GB"/>
              </w:rPr>
            </w:pPr>
            <w:r w:rsidRPr="007C378F">
              <w:rPr>
                <w:lang w:val="en-GB"/>
              </w:rPr>
              <w:t>Support needs at different stages of the student journey</w:t>
            </w:r>
            <w:r>
              <w:rPr>
                <w:lang w:val="en-GB"/>
              </w:rPr>
              <w:t xml:space="preserve"> from induction to “</w:t>
            </w:r>
            <w:proofErr w:type="spellStart"/>
            <w:r>
              <w:rPr>
                <w:lang w:val="en-GB"/>
              </w:rPr>
              <w:t>outduction</w:t>
            </w:r>
            <w:proofErr w:type="spellEnd"/>
            <w:r>
              <w:rPr>
                <w:lang w:val="en-GB"/>
              </w:rPr>
              <w:t>”</w:t>
            </w:r>
          </w:p>
          <w:p w:rsidR="007C378F" w:rsidP="007C378F" w:rsidRDefault="007C378F" w14:paraId="127831DF" w14:textId="77777777">
            <w:pPr>
              <w:pStyle w:val="ListParagraph"/>
              <w:numPr>
                <w:ilvl w:val="0"/>
                <w:numId w:val="3"/>
              </w:numPr>
              <w:rPr>
                <w:lang w:val="en-GB"/>
              </w:rPr>
            </w:pPr>
            <w:r w:rsidRPr="007C378F">
              <w:rPr>
                <w:lang w:val="en-GB"/>
              </w:rPr>
              <w:t xml:space="preserve">The academic and pastoral support needs of students with a wide variety of backgrounds including those with protected </w:t>
            </w:r>
            <w:proofErr w:type="gramStart"/>
            <w:r w:rsidRPr="007C378F">
              <w:rPr>
                <w:lang w:val="en-GB"/>
              </w:rPr>
              <w:t>characteristics</w:t>
            </w:r>
            <w:proofErr w:type="gramEnd"/>
            <w:r w:rsidRPr="007C378F">
              <w:rPr>
                <w:lang w:val="en-GB"/>
              </w:rPr>
              <w:t xml:space="preserve"> </w:t>
            </w:r>
          </w:p>
          <w:p w:rsidR="007C378F" w:rsidP="007C378F" w:rsidRDefault="007C378F" w14:paraId="281E032B" w14:textId="77777777">
            <w:pPr>
              <w:pStyle w:val="ListParagraph"/>
              <w:numPr>
                <w:ilvl w:val="0"/>
                <w:numId w:val="3"/>
              </w:numPr>
              <w:rPr>
                <w:lang w:val="en-GB"/>
              </w:rPr>
            </w:pPr>
            <w:r>
              <w:rPr>
                <w:lang w:val="en-GB"/>
              </w:rPr>
              <w:t>How student engagement with support services is tracked</w:t>
            </w:r>
          </w:p>
          <w:p w:rsidR="007C378F" w:rsidP="007C378F" w:rsidRDefault="007C378F" w14:paraId="226C4338" w14:textId="77777777">
            <w:pPr>
              <w:pStyle w:val="ListParagraph"/>
              <w:numPr>
                <w:ilvl w:val="0"/>
                <w:numId w:val="3"/>
              </w:numPr>
              <w:rPr>
                <w:lang w:val="en-GB"/>
              </w:rPr>
            </w:pPr>
            <w:r>
              <w:rPr>
                <w:lang w:val="en-GB"/>
              </w:rPr>
              <w:t>The role of effective academic student support in monitoring the academic and personal development</w:t>
            </w:r>
          </w:p>
          <w:p w:rsidRPr="007C378F" w:rsidR="007C378F" w:rsidP="007C378F" w:rsidRDefault="007C378F" w14:paraId="2E5B7078" w14:textId="77777777">
            <w:pPr>
              <w:pStyle w:val="ListParagraph"/>
              <w:numPr>
                <w:ilvl w:val="0"/>
                <w:numId w:val="3"/>
              </w:numPr>
              <w:rPr>
                <w:lang w:val="en-GB"/>
              </w:rPr>
            </w:pPr>
            <w:r>
              <w:rPr>
                <w:lang w:val="en-GB"/>
              </w:rPr>
              <w:t>The role of effective academic student support in identifying students in difficulty.</w:t>
            </w:r>
          </w:p>
          <w:p w:rsidR="007C378F" w:rsidP="00220F7A" w:rsidRDefault="007C378F" w14:paraId="04F67D1F" w14:textId="77777777">
            <w:pPr>
              <w:rPr>
                <w:lang w:val="en-GB"/>
              </w:rPr>
            </w:pPr>
          </w:p>
          <w:p w:rsidR="00941F9E" w:rsidP="00220F7A" w:rsidRDefault="00941F9E" w14:paraId="1567C01B" w14:textId="77777777">
            <w:pPr>
              <w:rPr>
                <w:lang w:val="en-GB"/>
              </w:rPr>
            </w:pPr>
            <w:r>
              <w:rPr>
                <w:lang w:val="en-GB"/>
              </w:rPr>
              <w:t>For an online programme:</w:t>
            </w:r>
          </w:p>
          <w:p w:rsidR="00941F9E" w:rsidP="00941F9E" w:rsidRDefault="00941F9E" w14:paraId="24CDB15D" w14:textId="562B2AED">
            <w:pPr>
              <w:pStyle w:val="ListParagraph"/>
              <w:numPr>
                <w:ilvl w:val="0"/>
                <w:numId w:val="3"/>
              </w:numPr>
              <w:rPr>
                <w:lang w:val="en-GB"/>
              </w:rPr>
            </w:pPr>
            <w:r>
              <w:rPr>
                <w:lang w:val="en-GB"/>
              </w:rPr>
              <w:t xml:space="preserve">consider </w:t>
            </w:r>
            <w:r w:rsidRPr="00941F9E">
              <w:rPr>
                <w:lang w:val="en-GB"/>
              </w:rPr>
              <w:t>the unique needs of distance learning students, given that they may have greater supervisory needs because they do not have access in person to the range of informal and formal support mechanisms (peers, student support services etc.) that campus-based students do. They may also live in a different time zone.</w:t>
            </w:r>
          </w:p>
          <w:p w:rsidR="00941F9E" w:rsidP="00941F9E" w:rsidRDefault="00941F9E" w14:paraId="14695D6F" w14:textId="4B254582">
            <w:pPr>
              <w:pStyle w:val="ListParagraph"/>
              <w:numPr>
                <w:ilvl w:val="0"/>
                <w:numId w:val="3"/>
              </w:numPr>
              <w:rPr>
                <w:lang w:val="en-GB"/>
              </w:rPr>
            </w:pPr>
            <w:r w:rsidRPr="00941F9E">
              <w:rPr>
                <w:lang w:val="en-GB"/>
              </w:rPr>
              <w:t xml:space="preserve">consider how </w:t>
            </w:r>
            <w:r>
              <w:rPr>
                <w:lang w:val="en-GB"/>
              </w:rPr>
              <w:t xml:space="preserve">you </w:t>
            </w:r>
            <w:r w:rsidRPr="00941F9E">
              <w:rPr>
                <w:lang w:val="en-GB"/>
              </w:rPr>
              <w:t>will establish a community of learners, providing collaborative learning opportunities (knowledge sharing and creation) and peer support.</w:t>
            </w:r>
          </w:p>
          <w:p w:rsidR="00941F9E" w:rsidP="00220F7A" w:rsidRDefault="00941F9E" w14:paraId="39D7F85B" w14:textId="77777777">
            <w:pPr>
              <w:rPr>
                <w:lang w:val="en-GB"/>
              </w:rPr>
            </w:pPr>
          </w:p>
          <w:p w:rsidR="00DF725A" w:rsidP="00DF725A" w:rsidRDefault="00DF725A" w14:paraId="7F2AB359" w14:textId="77777777">
            <w:pPr>
              <w:rPr>
                <w:lang w:val="en-GB"/>
              </w:rPr>
            </w:pPr>
            <w:r w:rsidRPr="003F63C8">
              <w:rPr>
                <w:lang w:val="en-GB"/>
              </w:rPr>
              <w:t xml:space="preserve">The QAA’s advice </w:t>
            </w:r>
            <w:r>
              <w:rPr>
                <w:lang w:val="en-GB"/>
              </w:rPr>
              <w:t xml:space="preserve">and guidance </w:t>
            </w:r>
            <w:r w:rsidRPr="003F63C8">
              <w:rPr>
                <w:lang w:val="en-GB"/>
              </w:rPr>
              <w:t xml:space="preserve">on </w:t>
            </w:r>
            <w:r>
              <w:rPr>
                <w:lang w:val="en-GB"/>
              </w:rPr>
              <w:t>enabling student achievement</w:t>
            </w:r>
            <w:r w:rsidRPr="003F63C8">
              <w:rPr>
                <w:lang w:val="en-GB"/>
              </w:rPr>
              <w:t xml:space="preserve"> can be found</w:t>
            </w:r>
            <w:r>
              <w:rPr>
                <w:lang w:val="en-GB"/>
              </w:rPr>
              <w:t xml:space="preserve"> </w:t>
            </w:r>
            <w:hyperlink w:history="1" r:id="rId15">
              <w:r w:rsidRPr="00DF725A">
                <w:rPr>
                  <w:rStyle w:val="Hyperlink"/>
                  <w:lang w:val="en-GB"/>
                </w:rPr>
                <w:t>here</w:t>
              </w:r>
            </w:hyperlink>
            <w:r>
              <w:rPr>
                <w:lang w:val="en-GB"/>
              </w:rPr>
              <w:t>.</w:t>
            </w:r>
          </w:p>
          <w:p w:rsidR="002D3841" w:rsidP="00DF725A" w:rsidRDefault="002D3841" w14:paraId="24544F7A" w14:textId="77777777">
            <w:pPr>
              <w:rPr>
                <w:lang w:val="en-GB"/>
              </w:rPr>
            </w:pPr>
          </w:p>
          <w:p w:rsidR="003C4A41" w:rsidP="00DF725A" w:rsidRDefault="003C4A41" w14:paraId="242F5A2A" w14:textId="71E6FD57">
            <w:pPr>
              <w:rPr>
                <w:lang w:val="en-GB"/>
              </w:rPr>
            </w:pPr>
            <w:r>
              <w:rPr>
                <w:lang w:val="en-GB"/>
              </w:rPr>
              <w:t xml:space="preserve">(200 – </w:t>
            </w:r>
            <w:r w:rsidR="00941F9E">
              <w:rPr>
                <w:lang w:val="en-GB"/>
              </w:rPr>
              <w:t>4</w:t>
            </w:r>
            <w:r>
              <w:rPr>
                <w:lang w:val="en-GB"/>
              </w:rPr>
              <w:t>50 words)</w:t>
            </w:r>
          </w:p>
        </w:tc>
      </w:tr>
    </w:tbl>
    <w:p w:rsidRPr="0090761E" w:rsidR="00B82996" w:rsidP="00B81E39" w:rsidRDefault="00B82996" w14:paraId="4AEF451A" w14:textId="77777777">
      <w:pPr>
        <w:rPr>
          <w:lang w:val="en-GB"/>
        </w:rPr>
      </w:pPr>
    </w:p>
    <w:sectPr w:rsidRPr="0090761E" w:rsidR="00B82996">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0286" w14:textId="77777777" w:rsidR="002F79A7" w:rsidRDefault="002F79A7" w:rsidP="00774B6F">
      <w:pPr>
        <w:spacing w:after="0" w:line="240" w:lineRule="auto"/>
      </w:pPr>
      <w:r>
        <w:separator/>
      </w:r>
    </w:p>
  </w:endnote>
  <w:endnote w:type="continuationSeparator" w:id="0">
    <w:p w14:paraId="1DF5E1DB" w14:textId="77777777" w:rsidR="002F79A7" w:rsidRDefault="002F79A7" w:rsidP="0077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672682"/>
      <w:docPartObj>
        <w:docPartGallery w:val="Page Numbers (Bottom of Page)"/>
        <w:docPartUnique/>
      </w:docPartObj>
    </w:sdtPr>
    <w:sdtEndPr>
      <w:rPr>
        <w:color w:val="7F7F7F" w:themeColor="background1" w:themeShade="7F"/>
        <w:spacing w:val="60"/>
      </w:rPr>
    </w:sdtEndPr>
    <w:sdtContent>
      <w:p w14:paraId="1939A9EA" w14:textId="77777777" w:rsidR="00774B6F" w:rsidRDefault="00774B6F">
        <w:pPr>
          <w:pStyle w:val="Footer"/>
          <w:pBdr>
            <w:top w:val="single" w:sz="4" w:space="1" w:color="D9D9D9" w:themeColor="background1" w:themeShade="D9"/>
          </w:pBdr>
          <w:jc w:val="right"/>
        </w:pPr>
        <w:r w:rsidRPr="00774B6F">
          <w:rPr>
            <w:caps/>
          </w:rPr>
          <w:t>Programme Specification Commentary</w:t>
        </w:r>
        <w:r>
          <w:t xml:space="preserve"> -</w:t>
        </w:r>
        <w:r w:rsidRPr="00774B6F">
          <w:t xml:space="preserv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3845E1" w14:textId="77777777" w:rsidR="00774B6F" w:rsidRDefault="0077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9582" w14:textId="77777777" w:rsidR="002F79A7" w:rsidRDefault="002F79A7" w:rsidP="00774B6F">
      <w:pPr>
        <w:spacing w:after="0" w:line="240" w:lineRule="auto"/>
      </w:pPr>
      <w:r>
        <w:separator/>
      </w:r>
    </w:p>
  </w:footnote>
  <w:footnote w:type="continuationSeparator" w:id="0">
    <w:p w14:paraId="0649C5AE" w14:textId="77777777" w:rsidR="002F79A7" w:rsidRDefault="002F79A7" w:rsidP="0077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2F97"/>
    <w:multiLevelType w:val="hybridMultilevel"/>
    <w:tmpl w:val="FA7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D2A64"/>
    <w:multiLevelType w:val="hybridMultilevel"/>
    <w:tmpl w:val="0B7E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720ED"/>
    <w:multiLevelType w:val="hybridMultilevel"/>
    <w:tmpl w:val="B14E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B0FBF"/>
    <w:multiLevelType w:val="multilevel"/>
    <w:tmpl w:val="0764DF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FD6D76"/>
    <w:multiLevelType w:val="hybridMultilevel"/>
    <w:tmpl w:val="1BA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30215">
    <w:abstractNumId w:val="1"/>
  </w:num>
  <w:num w:numId="2" w16cid:durableId="1834175890">
    <w:abstractNumId w:val="0"/>
  </w:num>
  <w:num w:numId="3" w16cid:durableId="1273395420">
    <w:abstractNumId w:val="2"/>
  </w:num>
  <w:num w:numId="4" w16cid:durableId="439033285">
    <w:abstractNumId w:val="4"/>
  </w:num>
  <w:num w:numId="5" w16cid:durableId="214179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96"/>
    <w:rsid w:val="000263ED"/>
    <w:rsid w:val="0005705A"/>
    <w:rsid w:val="000E2908"/>
    <w:rsid w:val="001266E5"/>
    <w:rsid w:val="001F763D"/>
    <w:rsid w:val="00220F7A"/>
    <w:rsid w:val="00283C05"/>
    <w:rsid w:val="002A4401"/>
    <w:rsid w:val="002D3841"/>
    <w:rsid w:val="002E20D3"/>
    <w:rsid w:val="002F79A7"/>
    <w:rsid w:val="003B3854"/>
    <w:rsid w:val="003C4A41"/>
    <w:rsid w:val="003F63C8"/>
    <w:rsid w:val="004863CB"/>
    <w:rsid w:val="00523CA7"/>
    <w:rsid w:val="0057789B"/>
    <w:rsid w:val="00634199"/>
    <w:rsid w:val="00774B6F"/>
    <w:rsid w:val="007C378F"/>
    <w:rsid w:val="00884694"/>
    <w:rsid w:val="008A20F8"/>
    <w:rsid w:val="008B4379"/>
    <w:rsid w:val="008D4E3E"/>
    <w:rsid w:val="008F7928"/>
    <w:rsid w:val="0090761E"/>
    <w:rsid w:val="00922753"/>
    <w:rsid w:val="00941F9E"/>
    <w:rsid w:val="00A63010"/>
    <w:rsid w:val="00AB0156"/>
    <w:rsid w:val="00B24941"/>
    <w:rsid w:val="00B81E39"/>
    <w:rsid w:val="00B82996"/>
    <w:rsid w:val="00BF1AE5"/>
    <w:rsid w:val="00BF66A7"/>
    <w:rsid w:val="00C22177"/>
    <w:rsid w:val="00D53527"/>
    <w:rsid w:val="00DE04D3"/>
    <w:rsid w:val="00DF6192"/>
    <w:rsid w:val="00DF725A"/>
    <w:rsid w:val="00E72E0F"/>
    <w:rsid w:val="00F3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DE9C8"/>
  <w15:chartTrackingRefBased/>
  <w15:docId w15:val="{867C183D-0937-4106-ABA7-5DFED43D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B82996"/>
    <w:pPr>
      <w:ind w:left="720"/>
      <w:contextualSpacing/>
    </w:pPr>
  </w:style>
  <w:style w:type="paragraph" w:styleId="BalloonText">
    <w:name w:val="Balloon Text"/>
    <w:basedOn w:val="Normal"/>
    <w:link w:val="BalloonTextChar"/>
    <w:uiPriority w:val="99"/>
    <w:semiHidden/>
    <w:unhideWhenUsed/>
    <w:rsid w:val="00220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F7A"/>
    <w:rPr>
      <w:rFonts w:ascii="Segoe UI" w:hAnsi="Segoe UI" w:cs="Segoe UI"/>
      <w:sz w:val="18"/>
      <w:szCs w:val="18"/>
    </w:rPr>
  </w:style>
  <w:style w:type="table" w:styleId="TableGrid">
    <w:name w:val="Table Grid"/>
    <w:basedOn w:val="TableNormal"/>
    <w:uiPriority w:val="39"/>
    <w:rsid w:val="0022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3C8"/>
    <w:rPr>
      <w:color w:val="0563C1" w:themeColor="hyperlink"/>
      <w:u w:val="single"/>
    </w:rPr>
  </w:style>
  <w:style w:type="character" w:styleId="UnresolvedMention">
    <w:name w:val="Unresolved Mention"/>
    <w:basedOn w:val="DefaultParagraphFont"/>
    <w:uiPriority w:val="99"/>
    <w:semiHidden/>
    <w:unhideWhenUsed/>
    <w:rsid w:val="002D3841"/>
    <w:rPr>
      <w:color w:val="605E5C"/>
      <w:shd w:val="clear" w:color="auto" w:fill="E1DFDD"/>
    </w:rPr>
  </w:style>
  <w:style w:type="paragraph" w:styleId="Header">
    <w:name w:val="header"/>
    <w:basedOn w:val="Normal"/>
    <w:link w:val="HeaderChar"/>
    <w:uiPriority w:val="99"/>
    <w:unhideWhenUsed/>
    <w:rsid w:val="0077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6F"/>
  </w:style>
  <w:style w:type="paragraph" w:styleId="Footer">
    <w:name w:val="footer"/>
    <w:basedOn w:val="Normal"/>
    <w:link w:val="FooterChar"/>
    <w:uiPriority w:val="99"/>
    <w:unhideWhenUsed/>
    <w:rsid w:val="0077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6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28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quality-code/qualifications-and-credit-frameworks" TargetMode="External"/><Relationship Id="rId13" Type="http://schemas.openxmlformats.org/officeDocument/2006/relationships/hyperlink" Target="https://www.qaa.ac.uk/docs/qaa/quality-code/advice-and-guidance-assessment.pdf?sfvrsn=ca29c181_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qaa.ac.uk/docs/qaa/quality-code/qc-a-g-learning-and-teaching.pdf?sfvrsn=1f2ac181_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ec.org.uk/resources/" TargetMode="External"/><Relationship Id="rId5" Type="http://schemas.openxmlformats.org/officeDocument/2006/relationships/footnotes" Target="footnotes.xml"/><Relationship Id="rId15" Type="http://schemas.openxmlformats.org/officeDocument/2006/relationships/hyperlink" Target="https://www.qaa.ac.uk/docs/qaa/quality-code/advice-and-guidance-enabling-student-achievement.pdf?sfvrsn=b12ac181_2" TargetMode="External"/><Relationship Id="rId10" Type="http://schemas.openxmlformats.org/officeDocument/2006/relationships/hyperlink" Target="https://www.qaa.ac.uk/quality-code/subject-benchmark-statements" TargetMode="External"/><Relationship Id="rId4" Type="http://schemas.openxmlformats.org/officeDocument/2006/relationships/webSettings" Target="webSettings.xml"/><Relationship Id="rId9" Type="http://schemas.openxmlformats.org/officeDocument/2006/relationships/hyperlink" Target="https://www.qaa.ac.uk/quality-code/supporting-resources" TargetMode="External"/><Relationship Id="rId14" Type="http://schemas.openxmlformats.org/officeDocument/2006/relationships/hyperlink" Target="https://www.nusconnect.org.uk/resources/assessment-and-feedback-benchmarking-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A13 Programme Specification Commentary Template</dc:title>
  <dc:subject>
  </dc:subject>
  <dc:creator>Glen Delahaye</dc:creator>
  <cp:keywords>
  </cp:keywords>
  <dc:description>
  </dc:description>
  <cp:lastModifiedBy>Giulia Sparacino</cp:lastModifiedBy>
  <cp:revision>19</cp:revision>
  <cp:lastPrinted>2019-11-14T09:42:00Z</cp:lastPrinted>
  <dcterms:created xsi:type="dcterms:W3CDTF">2019-11-18T16:24:00Z</dcterms:created>
  <dcterms:modified xsi:type="dcterms:W3CDTF">2024-08-01T12:03:10Z</dcterms:modified>
</cp:coreProperties>
</file>