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D256D" w:rsidR="00BD256D" w:rsidP="00911182" w:rsidRDefault="002B0D27" w14:paraId="59A16D01" w14:textId="6F0730B0">
      <w:pPr>
        <w:ind w:left="1560" w:hanging="1560"/>
        <w:rPr>
          <w:rFonts w:ascii="Franklin Gothic Book" w:hAnsi="Franklin Gothic Book" w:eastAsia="Franklin Gothic Book" w:cs="Franklin Gothic Book"/>
          <w:b/>
          <w:bCs/>
        </w:rPr>
      </w:pPr>
      <w:r w:rsidRPr="00D25B74">
        <w:rPr>
          <w:rFonts w:ascii="Arial" w:hAnsi="Arial" w:cs="Arial"/>
          <w:b/>
          <w:noProof/>
          <w:sz w:val="20"/>
        </w:rPr>
        <w:drawing>
          <wp:anchor distT="0" distB="0" distL="114300" distR="114300" simplePos="0" relativeHeight="251659264" behindDoc="1" locked="0" layoutInCell="1" allowOverlap="1" wp14:editId="4BF0384B" wp14:anchorId="0BDE9506">
            <wp:simplePos x="0" y="0"/>
            <wp:positionH relativeFrom="column">
              <wp:posOffset>4261757</wp:posOffset>
            </wp:positionH>
            <wp:positionV relativeFrom="paragraph">
              <wp:posOffset>-484143</wp:posOffset>
            </wp:positionV>
            <wp:extent cx="1885950" cy="964570"/>
            <wp:effectExtent l="0" t="0" r="0" b="698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1">
                      <a:extLst>
                        <a:ext uri="{28A0092B-C50C-407E-A947-70E740481C1C}">
                          <a14:useLocalDpi xmlns:a14="http://schemas.microsoft.com/office/drawing/2010/main" val="0"/>
                        </a:ext>
                      </a:extLst>
                    </a:blip>
                    <a:srcRect l="8667" t="17334" r="4000" b="23111"/>
                    <a:stretch/>
                  </pic:blipFill>
                  <pic:spPr bwMode="auto">
                    <a:xfrm>
                      <a:off x="0" y="0"/>
                      <a:ext cx="1885950" cy="9645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name="_Hlk29976841" w:id="0"/>
      <w:r w:rsidR="008E2F15">
        <w:rPr>
          <w:rFonts w:ascii="Franklin Gothic Book" w:hAnsi="Franklin Gothic Book" w:eastAsia="Franklin Gothic Book" w:cs="Franklin Gothic Book"/>
          <w:b/>
          <w:bCs/>
        </w:rPr>
        <w:t>Common Modular Framework</w:t>
      </w:r>
    </w:p>
    <w:bookmarkEnd w:id="0"/>
    <w:p w:rsidRPr="000E4E2E" w:rsidR="0002781C" w:rsidP="0039224D" w:rsidRDefault="000E4E2E" w14:paraId="71BEF315" w14:textId="4D43A997">
      <w:pPr>
        <w:rPr>
          <w:rFonts w:ascii="Franklin Gothic Book" w:hAnsi="Franklin Gothic Book" w:cs="Arial"/>
          <w:b/>
          <w:bCs/>
        </w:rPr>
      </w:pPr>
      <w:r>
        <w:rPr>
          <w:rFonts w:ascii="Franklin Gothic Book" w:hAnsi="Franklin Gothic Book" w:cs="Arial"/>
          <w:b/>
          <w:bCs/>
        </w:rPr>
        <w:t>Scope</w:t>
      </w:r>
    </w:p>
    <w:p w:rsidR="0039224D" w:rsidP="000E4E2E" w:rsidRDefault="0039224D" w14:paraId="323357F0" w14:textId="1D6DD2A3">
      <w:pPr>
        <w:pStyle w:val="ListParagraph"/>
        <w:numPr>
          <w:ilvl w:val="0"/>
          <w:numId w:val="12"/>
        </w:numPr>
      </w:pPr>
      <w:r>
        <w:t>This framework applies to new programmes that will be validated in 202</w:t>
      </w:r>
      <w:r w:rsidR="008A1849">
        <w:t>3</w:t>
      </w:r>
      <w:r>
        <w:t>-2</w:t>
      </w:r>
      <w:r w:rsidR="008A1849">
        <w:t>4</w:t>
      </w:r>
      <w:r>
        <w:t xml:space="preserve"> and in subsequent academic years.</w:t>
      </w:r>
    </w:p>
    <w:p w:rsidR="000E4E2E" w:rsidP="000E4E2E" w:rsidRDefault="000E4E2E" w14:paraId="32E8B0AC" w14:textId="77777777">
      <w:pPr>
        <w:pStyle w:val="ListParagraph"/>
        <w:ind w:left="360"/>
      </w:pPr>
    </w:p>
    <w:p w:rsidR="0039224D" w:rsidP="000E4E2E" w:rsidRDefault="0039224D" w14:paraId="76C1711E" w14:textId="681D2D25">
      <w:pPr>
        <w:pStyle w:val="ListParagraph"/>
        <w:numPr>
          <w:ilvl w:val="0"/>
          <w:numId w:val="12"/>
        </w:numPr>
      </w:pPr>
      <w:r>
        <w:t>Existing programmes that are being revalidated in 2023-24 and in subsequent academic years are expected to engage with the Framework and adopt the framework requirements unless there is an overriding educational imperative.</w:t>
      </w:r>
    </w:p>
    <w:p w:rsidR="00930C59" w:rsidP="00930C59" w:rsidRDefault="00930C59" w14:paraId="0AF09EC9" w14:textId="77777777">
      <w:pPr>
        <w:pStyle w:val="ListParagraph"/>
      </w:pPr>
    </w:p>
    <w:p w:rsidR="00930C59" w:rsidP="000E4E2E" w:rsidRDefault="00930C59" w14:paraId="4259D296" w14:textId="541EF5EC">
      <w:pPr>
        <w:pStyle w:val="ListParagraph"/>
        <w:numPr>
          <w:ilvl w:val="0"/>
          <w:numId w:val="12"/>
        </w:numPr>
      </w:pPr>
      <w:r>
        <w:t xml:space="preserve">If funding body or professional body requirements conflict with the framework, external requirements will usually take precedence.  </w:t>
      </w:r>
    </w:p>
    <w:p w:rsidR="009D7743" w:rsidP="009D7743" w:rsidRDefault="009D7743" w14:paraId="47430DF2" w14:textId="77777777">
      <w:pPr>
        <w:pStyle w:val="ListParagraph"/>
      </w:pPr>
    </w:p>
    <w:p w:rsidR="009D7743" w:rsidP="000E4E2E" w:rsidRDefault="009D7743" w14:paraId="519E76DE" w14:textId="55674E21">
      <w:pPr>
        <w:pStyle w:val="ListParagraph"/>
        <w:numPr>
          <w:ilvl w:val="0"/>
          <w:numId w:val="12"/>
        </w:numPr>
      </w:pPr>
      <w:r>
        <w:t xml:space="preserve">Some elements of the Common Modular Framework are aspirational.  It may not be possible for all programmes to implement these elements in 2023-24 or 2024-25.  Programme teams are asked to consider </w:t>
      </w:r>
      <w:r w:rsidR="009D6BF0">
        <w:t xml:space="preserve">how </w:t>
      </w:r>
      <w:r>
        <w:t>they might work towards these elements, which are clearly labelled in the framework.</w:t>
      </w:r>
    </w:p>
    <w:p w:rsidRPr="00930C59" w:rsidR="00171187" w:rsidP="00171187" w:rsidRDefault="00171187" w14:paraId="2A94CB9A" w14:textId="6DBD4626">
      <w:pPr>
        <w:rPr>
          <w:rFonts w:cstheme="minorHAnsi"/>
          <w:b/>
          <w:bCs/>
        </w:rPr>
      </w:pPr>
      <w:r w:rsidRPr="00930C59">
        <w:rPr>
          <w:rFonts w:cstheme="minorHAnsi"/>
          <w:b/>
          <w:bCs/>
        </w:rPr>
        <w:t>Award of credit</w:t>
      </w:r>
    </w:p>
    <w:p w:rsidR="0039224D" w:rsidP="00171187" w:rsidRDefault="0039224D" w14:paraId="761D916B" w14:textId="71635A49">
      <w:pPr>
        <w:pStyle w:val="ListParagraph"/>
        <w:numPr>
          <w:ilvl w:val="0"/>
          <w:numId w:val="12"/>
        </w:numPr>
      </w:pPr>
      <w:r w:rsidRPr="003E3F90">
        <w:t>1 credit = 10 hours of notional student study time.</w:t>
      </w:r>
    </w:p>
    <w:p w:rsidRPr="002C2DDE" w:rsidR="002C2DDE" w:rsidP="002C2DDE" w:rsidRDefault="002C2DDE" w14:paraId="1D1878A7" w14:textId="40E1F0D8">
      <w:pPr>
        <w:rPr>
          <w:b/>
          <w:bCs/>
        </w:rPr>
      </w:pPr>
      <w:r w:rsidRPr="002C2DDE">
        <w:rPr>
          <w:b/>
          <w:bCs/>
        </w:rPr>
        <w:t>Module definition</w:t>
      </w:r>
    </w:p>
    <w:p w:rsidRPr="009D7743" w:rsidR="002C2DDE" w:rsidP="002C2DDE" w:rsidRDefault="002C2DDE" w14:paraId="7F715B9E" w14:textId="19055FA9">
      <w:pPr>
        <w:pStyle w:val="ListParagraph"/>
        <w:numPr>
          <w:ilvl w:val="0"/>
          <w:numId w:val="12"/>
        </w:numPr>
        <w:rPr>
          <w:rFonts w:cstheme="minorHAnsi"/>
        </w:rPr>
      </w:pPr>
      <w:r w:rsidRPr="002C2DDE">
        <w:rPr>
          <w:rFonts w:cstheme="minorHAnsi"/>
          <w:color w:val="202124"/>
          <w:shd w:val="clear" w:color="auto" w:fill="FFFFFF"/>
        </w:rPr>
        <w:t xml:space="preserve">A </w:t>
      </w:r>
      <w:r w:rsidRPr="002C2DDE">
        <w:rPr>
          <w:rFonts w:cstheme="minorHAnsi"/>
        </w:rPr>
        <w:t>module</w:t>
      </w:r>
      <w:r w:rsidRPr="002C2DDE">
        <w:rPr>
          <w:rFonts w:cstheme="minorHAnsi"/>
          <w:color w:val="202124"/>
          <w:shd w:val="clear" w:color="auto" w:fill="FFFFFF"/>
        </w:rPr>
        <w:t xml:space="preserve"> is </w:t>
      </w:r>
      <w:r w:rsidRPr="002C2DDE">
        <w:rPr>
          <w:rFonts w:cstheme="minorHAnsi"/>
          <w:color w:val="040C28"/>
        </w:rPr>
        <w:t>a self-contained component of a programme or programmes of study with defined learning outcomes, teaching and learning methods, and assessment requirements</w:t>
      </w:r>
      <w:r w:rsidRPr="002C2DDE">
        <w:rPr>
          <w:rFonts w:cstheme="minorHAnsi"/>
          <w:color w:val="202124"/>
          <w:shd w:val="clear" w:color="auto" w:fill="FFFFFF"/>
        </w:rPr>
        <w:t>.</w:t>
      </w:r>
      <w:r>
        <w:rPr>
          <w:rFonts w:cstheme="minorHAnsi"/>
          <w:color w:val="202124"/>
          <w:shd w:val="clear" w:color="auto" w:fill="FFFFFF"/>
        </w:rPr>
        <w:t xml:space="preserve"> For organizational reasons, each module will have a unique identifying code. </w:t>
      </w:r>
    </w:p>
    <w:p w:rsidRPr="009D7743" w:rsidR="009D7743" w:rsidP="009D7743" w:rsidRDefault="009D7743" w14:paraId="2DFDBF5E" w14:textId="77777777">
      <w:pPr>
        <w:pStyle w:val="ListParagraph"/>
        <w:ind w:left="360"/>
        <w:rPr>
          <w:rFonts w:cstheme="minorHAnsi"/>
        </w:rPr>
      </w:pPr>
    </w:p>
    <w:p w:rsidR="009D7743" w:rsidP="009D7743" w:rsidRDefault="009D7743" w14:paraId="31391307" w14:textId="66CE976F">
      <w:pPr>
        <w:pStyle w:val="ListParagraph"/>
        <w:numPr>
          <w:ilvl w:val="0"/>
          <w:numId w:val="12"/>
        </w:numPr>
      </w:pPr>
      <w:r>
        <w:t xml:space="preserve">The </w:t>
      </w:r>
      <w:r w:rsidR="009D6BF0">
        <w:t xml:space="preserve">module </w:t>
      </w:r>
      <w:r>
        <w:t xml:space="preserve">title, academic level credit rating, intended learning outcomes and summative assessment methods are fixed at the point of validation. </w:t>
      </w:r>
    </w:p>
    <w:p w:rsidR="009D7743" w:rsidP="009D7743" w:rsidRDefault="009D7743" w14:paraId="759BBE78" w14:textId="77777777">
      <w:pPr>
        <w:pStyle w:val="ListParagraph"/>
      </w:pPr>
    </w:p>
    <w:p w:rsidRPr="009D7743" w:rsidR="009D7743" w:rsidP="009D7743" w:rsidRDefault="009D7743" w14:paraId="4202B374" w14:textId="653B1C8C">
      <w:pPr>
        <w:pStyle w:val="ListParagraph"/>
        <w:numPr>
          <w:ilvl w:val="0"/>
          <w:numId w:val="12"/>
        </w:numPr>
      </w:pPr>
      <w:r>
        <w:t>Validated modules will have a unique identifying code.  If the features of the module defined in paragraph 7 change, the changed module will have a different unique identifying code.</w:t>
      </w:r>
    </w:p>
    <w:p w:rsidRPr="00171187" w:rsidR="00171187" w:rsidP="00171187" w:rsidRDefault="00171187" w14:paraId="0B8B8B6C" w14:textId="7C00EA79">
      <w:pPr>
        <w:rPr>
          <w:b/>
          <w:bCs/>
        </w:rPr>
      </w:pPr>
      <w:r w:rsidRPr="00171187">
        <w:rPr>
          <w:b/>
          <w:bCs/>
        </w:rPr>
        <w:t>Modules and module size</w:t>
      </w:r>
    </w:p>
    <w:p w:rsidR="0039224D" w:rsidP="00171187" w:rsidRDefault="0039224D" w14:paraId="6760AA15" w14:textId="03933131">
      <w:pPr>
        <w:pStyle w:val="ListParagraph"/>
        <w:numPr>
          <w:ilvl w:val="0"/>
          <w:numId w:val="12"/>
        </w:numPr>
      </w:pPr>
      <w:r w:rsidRPr="003E3F90">
        <w:t>The minimum module size is 15 credits (or 150 notional study hours). Other modules should be multiple</w:t>
      </w:r>
      <w:r w:rsidR="009D7743">
        <w:t>s</w:t>
      </w:r>
      <w:r w:rsidRPr="003E3F90">
        <w:t xml:space="preserve"> of 15. 15 and 30 credit modules, other than for project modules, are the norms</w:t>
      </w:r>
      <w:r w:rsidR="001548D9">
        <w:rPr>
          <w:rStyle w:val="FootnoteReference"/>
        </w:rPr>
        <w:footnoteReference w:id="1"/>
      </w:r>
      <w:r w:rsidRPr="003E3F90">
        <w:t xml:space="preserve">. </w:t>
      </w:r>
    </w:p>
    <w:p w:rsidRPr="003E3F90" w:rsidR="00171187" w:rsidP="00171187" w:rsidRDefault="00171187" w14:paraId="5D968E7D" w14:textId="77777777">
      <w:pPr>
        <w:pStyle w:val="ListParagraph"/>
        <w:ind w:left="360"/>
      </w:pPr>
    </w:p>
    <w:p w:rsidR="00171187" w:rsidP="00171187" w:rsidRDefault="0039224D" w14:paraId="1691552E" w14:textId="482D2BDB">
      <w:pPr>
        <w:pStyle w:val="ListParagraph"/>
        <w:numPr>
          <w:ilvl w:val="0"/>
          <w:numId w:val="12"/>
        </w:numPr>
      </w:pPr>
      <w:r w:rsidRPr="003E3F90">
        <w:t xml:space="preserve">A module is delivered at a defined academic level (4 to 8) with the level expressed in the learning outcomes for the module. </w:t>
      </w:r>
    </w:p>
    <w:p w:rsidRPr="003E3F90" w:rsidR="00171187" w:rsidP="00171187" w:rsidRDefault="00171187" w14:paraId="1075E9A7" w14:textId="77777777">
      <w:pPr>
        <w:pStyle w:val="ListParagraph"/>
        <w:ind w:left="360"/>
      </w:pPr>
    </w:p>
    <w:p w:rsidR="00171187" w:rsidP="00A2001E" w:rsidRDefault="002C2DDE" w14:paraId="2BF43BC9" w14:textId="0C30CE2B">
      <w:pPr>
        <w:pStyle w:val="ListParagraph"/>
        <w:numPr>
          <w:ilvl w:val="0"/>
          <w:numId w:val="12"/>
        </w:numPr>
      </w:pPr>
      <w:r>
        <w:lastRenderedPageBreak/>
        <w:t>If a</w:t>
      </w:r>
      <w:r w:rsidRPr="003E3F90" w:rsidR="0039224D">
        <w:t xml:space="preserve"> module </w:t>
      </w:r>
      <w:r>
        <w:t>is</w:t>
      </w:r>
      <w:r w:rsidRPr="003E3F90" w:rsidR="0039224D">
        <w:t xml:space="preserve"> offered at more than one academic level</w:t>
      </w:r>
      <w:r>
        <w:t>, each version of the module will have a separate unique identifier</w:t>
      </w:r>
      <w:r w:rsidRPr="003E3F90" w:rsidR="0039224D">
        <w:t xml:space="preserve">. In this instance the module title </w:t>
      </w:r>
      <w:r w:rsidR="00171187">
        <w:t xml:space="preserve">and </w:t>
      </w:r>
      <w:r w:rsidRPr="003E3F90" w:rsidR="0039224D">
        <w:t xml:space="preserve">content may be the same. The modules must have different learning outcomes to reflect the level at which they are offered, and the assessment must be differentiated to allow students to demonstrate achievement of the learning outcomes.  Assessment </w:t>
      </w:r>
      <w:r w:rsidR="00280F34">
        <w:t xml:space="preserve">elements </w:t>
      </w:r>
      <w:r w:rsidRPr="003E3F90" w:rsidR="0039224D">
        <w:t xml:space="preserve">may be the same, but assessment criteria need to be different. </w:t>
      </w:r>
    </w:p>
    <w:p w:rsidRPr="003E3F90" w:rsidR="00171187" w:rsidP="00171187" w:rsidRDefault="00171187" w14:paraId="4783F253" w14:textId="77777777">
      <w:pPr>
        <w:pStyle w:val="ListParagraph"/>
        <w:ind w:left="360"/>
      </w:pPr>
    </w:p>
    <w:p w:rsidR="0039224D" w:rsidP="00171187" w:rsidRDefault="0039224D" w14:paraId="3D8CEB6C" w14:textId="6F20D69D">
      <w:pPr>
        <w:pStyle w:val="ListParagraph"/>
        <w:numPr>
          <w:ilvl w:val="0"/>
          <w:numId w:val="12"/>
        </w:numPr>
      </w:pPr>
      <w:r w:rsidRPr="003E3F90">
        <w:t xml:space="preserve">The teaching and learning strategies for modules offered at more than one academic level must acknowledge the different </w:t>
      </w:r>
      <w:r w:rsidR="00877C73">
        <w:t xml:space="preserve">level at which </w:t>
      </w:r>
      <w:r w:rsidRPr="003E3F90">
        <w:t>the learners</w:t>
      </w:r>
      <w:r w:rsidR="00877C73">
        <w:t xml:space="preserve"> are enrolled</w:t>
      </w:r>
      <w:r w:rsidRPr="003E3F90">
        <w:t xml:space="preserve">. </w:t>
      </w:r>
    </w:p>
    <w:p w:rsidR="00171187" w:rsidP="003E3F90" w:rsidRDefault="00FB6CF1" w14:paraId="5806155F" w14:textId="46BAB8DC">
      <w:pPr>
        <w:rPr>
          <w:b/>
          <w:bCs/>
        </w:rPr>
      </w:pPr>
      <w:r>
        <w:rPr>
          <w:b/>
          <w:bCs/>
        </w:rPr>
        <w:t>Projects and m</w:t>
      </w:r>
      <w:r w:rsidRPr="00171187" w:rsidR="0039224D">
        <w:rPr>
          <w:b/>
          <w:bCs/>
        </w:rPr>
        <w:t>odule sizes for projects</w:t>
      </w:r>
    </w:p>
    <w:p w:rsidRPr="000E34E0" w:rsidR="00AD419C" w:rsidP="00171187" w:rsidRDefault="00AD419C" w14:paraId="68E11519" w14:textId="24C06F17">
      <w:pPr>
        <w:pStyle w:val="ListParagraph"/>
        <w:numPr>
          <w:ilvl w:val="0"/>
          <w:numId w:val="12"/>
        </w:numPr>
      </w:pPr>
      <w:r w:rsidRPr="000E34E0">
        <w:t>Programme</w:t>
      </w:r>
      <w:r w:rsidRPr="000E34E0" w:rsidR="008361B2">
        <w:t>s</w:t>
      </w:r>
      <w:r w:rsidRPr="000E34E0">
        <w:t xml:space="preserve"> of study leading to an award at level 6, 7 and 8 will normally include a project module.  The nature of the project work carried out by student may vary depending on the role of the module within the programme. </w:t>
      </w:r>
    </w:p>
    <w:p w:rsidR="00AD419C" w:rsidP="00AD419C" w:rsidRDefault="00AD419C" w14:paraId="1C1809D3" w14:textId="77777777">
      <w:pPr>
        <w:pStyle w:val="ListParagraph"/>
        <w:ind w:left="360"/>
      </w:pPr>
    </w:p>
    <w:p w:rsidRPr="003E3F90" w:rsidR="0039224D" w:rsidP="00171187" w:rsidRDefault="00171187" w14:paraId="75ADF73A" w14:textId="07E5FCCA">
      <w:pPr>
        <w:pStyle w:val="ListParagraph"/>
        <w:numPr>
          <w:ilvl w:val="0"/>
          <w:numId w:val="12"/>
        </w:numPr>
      </w:pPr>
      <w:r>
        <w:t>P</w:t>
      </w:r>
      <w:r w:rsidRPr="003E3F90" w:rsidR="0039224D">
        <w:t xml:space="preserve">roject modules may vary </w:t>
      </w:r>
      <w:r w:rsidR="00AD419C">
        <w:t xml:space="preserve">in size </w:t>
      </w:r>
      <w:r w:rsidRPr="003E3F90" w:rsidR="0039224D">
        <w:t xml:space="preserve">but shall not exceed 120 credits (MRes and MSci), 90 credits (other masters programmes) and 45 credits (level 6 qualifications).  </w:t>
      </w:r>
    </w:p>
    <w:p w:rsidRPr="00171187" w:rsidR="00171187" w:rsidP="00171187" w:rsidRDefault="00171187" w14:paraId="0CB360BB" w14:textId="77777777">
      <w:pPr>
        <w:rPr>
          <w:b/>
          <w:bCs/>
        </w:rPr>
      </w:pPr>
      <w:proofErr w:type="spellStart"/>
      <w:r w:rsidRPr="00171187">
        <w:rPr>
          <w:b/>
          <w:bCs/>
        </w:rPr>
        <w:t>Organisation</w:t>
      </w:r>
      <w:proofErr w:type="spellEnd"/>
      <w:r w:rsidRPr="00171187">
        <w:rPr>
          <w:b/>
          <w:bCs/>
        </w:rPr>
        <w:t xml:space="preserve"> of the academic year</w:t>
      </w:r>
    </w:p>
    <w:p w:rsidR="00171187" w:rsidP="00171187" w:rsidRDefault="00171187" w14:paraId="5892A47F" w14:textId="57BF21A7">
      <w:pPr>
        <w:pStyle w:val="ListParagraph"/>
        <w:numPr>
          <w:ilvl w:val="0"/>
          <w:numId w:val="12"/>
        </w:numPr>
      </w:pPr>
      <w:r w:rsidRPr="003E3F90">
        <w:t xml:space="preserve">The academic year, for the purpose of delivering this framework, is </w:t>
      </w:r>
      <w:proofErr w:type="spellStart"/>
      <w:r w:rsidRPr="003E3F90">
        <w:t>organised</w:t>
      </w:r>
      <w:proofErr w:type="spellEnd"/>
      <w:r w:rsidRPr="003E3F90">
        <w:t xml:space="preserve"> into two semesters</w:t>
      </w:r>
      <w:r>
        <w:t xml:space="preserve"> for undergraduate programmes</w:t>
      </w:r>
      <w:r w:rsidRPr="003E3F90">
        <w:t>.</w:t>
      </w:r>
      <w:r>
        <w:t xml:space="preserve"> </w:t>
      </w:r>
      <w:r w:rsidRPr="003E3F90">
        <w:t xml:space="preserve"> </w:t>
      </w:r>
      <w:r>
        <w:t xml:space="preserve">For postgraduate programmes, there will be a </w:t>
      </w:r>
      <w:r w:rsidR="000E34E0">
        <w:t xml:space="preserve">notional </w:t>
      </w:r>
      <w:r>
        <w:t>third semester (or trimester) to accommodate project work.</w:t>
      </w:r>
    </w:p>
    <w:p w:rsidRPr="003E3F90" w:rsidR="00171187" w:rsidP="00171187" w:rsidRDefault="00171187" w14:paraId="78AE60C1" w14:textId="77777777">
      <w:pPr>
        <w:pStyle w:val="ListParagraph"/>
        <w:ind w:left="360"/>
      </w:pPr>
    </w:p>
    <w:p w:rsidR="00463D0C" w:rsidP="00463D0C" w:rsidRDefault="0039224D" w14:paraId="7BB50823" w14:textId="200BF83D">
      <w:pPr>
        <w:pStyle w:val="ListParagraph"/>
        <w:numPr>
          <w:ilvl w:val="0"/>
          <w:numId w:val="12"/>
        </w:numPr>
      </w:pPr>
      <w:r w:rsidRPr="000E34E0">
        <w:t xml:space="preserve">Modules (normally) start and finish within the same semester.  Yearlong modules are allowable, if there is </w:t>
      </w:r>
      <w:r w:rsidRPr="000E34E0" w:rsidR="00AD419C">
        <w:t>a suitable</w:t>
      </w:r>
      <w:r w:rsidRPr="000E34E0">
        <w:t xml:space="preserve"> educational rationale.</w:t>
      </w:r>
    </w:p>
    <w:p w:rsidRPr="003E3F90" w:rsidR="00463D0C" w:rsidP="00463D0C" w:rsidRDefault="00463D0C" w14:paraId="6AAFF774" w14:textId="77777777">
      <w:pPr>
        <w:pStyle w:val="ListParagraph"/>
        <w:ind w:left="360"/>
      </w:pPr>
    </w:p>
    <w:p w:rsidR="006E16A3" w:rsidP="006E16A3" w:rsidRDefault="0039224D" w14:paraId="7C177A58" w14:textId="4E061205">
      <w:pPr>
        <w:pStyle w:val="ListParagraph"/>
        <w:numPr>
          <w:ilvl w:val="0"/>
          <w:numId w:val="12"/>
        </w:numPr>
      </w:pPr>
      <w:r w:rsidRPr="003E3F90">
        <w:t xml:space="preserve">Modules and credits must be evenly distributed across the academic year to ensure a consistent workload for students.  As an illustration, the credit-rating for a fulltime academic year at level 4 is 120 credits.   The credit-rating for each semester must be 60 credits. </w:t>
      </w:r>
    </w:p>
    <w:p w:rsidRPr="003E3F90" w:rsidR="006E16A3" w:rsidP="006E16A3" w:rsidRDefault="006E16A3" w14:paraId="6F8FD627" w14:textId="77777777">
      <w:pPr>
        <w:pStyle w:val="ListParagraph"/>
        <w:ind w:left="360"/>
      </w:pPr>
    </w:p>
    <w:p w:rsidR="00463D0C" w:rsidP="009B7E6E" w:rsidRDefault="003E3F90" w14:paraId="662603C6" w14:textId="6067EF82">
      <w:pPr>
        <w:pStyle w:val="ListParagraph"/>
        <w:numPr>
          <w:ilvl w:val="0"/>
          <w:numId w:val="12"/>
        </w:numPr>
      </w:pPr>
      <w:r w:rsidRPr="003E3F90">
        <w:t>Modules do not need to be evenly distributed throughout the year</w:t>
      </w:r>
      <w:r w:rsidR="00663A02">
        <w:t>.</w:t>
      </w:r>
      <w:r w:rsidRPr="003E3F90">
        <w:t xml:space="preserve"> The credit-rating for a full-time academic year at level 4 should be 120 credits comprising two 60 credits semesters. However, the number of modules in each semester need not be the same. For example, one semester may comprise two 30 credits modules and with the subsequent semester made up of four 15 credit modules. </w:t>
      </w:r>
    </w:p>
    <w:p w:rsidR="00634ED6" w:rsidP="00634ED6" w:rsidRDefault="00634ED6" w14:paraId="25056C8E" w14:textId="77777777">
      <w:pPr>
        <w:pStyle w:val="ListParagraph"/>
        <w:ind w:left="360"/>
      </w:pPr>
    </w:p>
    <w:p w:rsidR="00070889" w:rsidP="009B7E6E" w:rsidRDefault="00070889" w14:paraId="627CD230" w14:textId="7A3CCEF4">
      <w:pPr>
        <w:pStyle w:val="ListParagraph"/>
        <w:numPr>
          <w:ilvl w:val="0"/>
          <w:numId w:val="12"/>
        </w:numPr>
      </w:pPr>
      <w:r>
        <w:t xml:space="preserve">Modules </w:t>
      </w:r>
      <w:r w:rsidR="00544996">
        <w:t>may</w:t>
      </w:r>
      <w:r>
        <w:t xml:space="preserve"> be taken concurrently</w:t>
      </w:r>
      <w:r w:rsidR="00544996">
        <w:t xml:space="preserve"> or in blocks</w:t>
      </w:r>
      <w:r>
        <w:t xml:space="preserve">. </w:t>
      </w:r>
      <w:r w:rsidR="00544996">
        <w:t xml:space="preserve"> For example, if a semester includes four fifteen credit modules</w:t>
      </w:r>
      <w:r w:rsidR="009B7E6E">
        <w:t xml:space="preserve">, </w:t>
      </w:r>
      <w:r w:rsidR="00544996">
        <w:t xml:space="preserve">each module may start and finish at the same time. </w:t>
      </w:r>
      <w:r w:rsidR="009B7E6E">
        <w:t xml:space="preserve"> </w:t>
      </w:r>
      <w:r w:rsidR="00544996">
        <w:t>Alternatively</w:t>
      </w:r>
      <w:r w:rsidR="009B7E6E">
        <w:t xml:space="preserve">, </w:t>
      </w:r>
      <w:r w:rsidR="00544996">
        <w:t xml:space="preserve">if </w:t>
      </w:r>
      <w:r w:rsidR="009B7E6E">
        <w:t xml:space="preserve">a semester includes four fifteen credit modules, one of these modules may be taught in a block at the start of the semester, if that module is a prerequisite for the subsequent modules offered in that semester. </w:t>
      </w:r>
    </w:p>
    <w:p w:rsidR="00070889" w:rsidP="00634ED6" w:rsidRDefault="00070889" w14:paraId="32437F71" w14:textId="77777777">
      <w:pPr>
        <w:pStyle w:val="ListParagraph"/>
        <w:ind w:left="360"/>
      </w:pPr>
    </w:p>
    <w:p w:rsidRPr="000E34E0" w:rsidR="00634ED6" w:rsidP="00634ED6" w:rsidRDefault="00634ED6" w14:paraId="18CC7D20" w14:textId="79E0761A">
      <w:pPr>
        <w:pStyle w:val="ListParagraph"/>
        <w:numPr>
          <w:ilvl w:val="0"/>
          <w:numId w:val="12"/>
        </w:numPr>
      </w:pPr>
      <w:r w:rsidRPr="000E34E0">
        <w:t>For workforce development modules, modules may be delivered consecutively</w:t>
      </w:r>
      <w:r w:rsidRPr="000E34E0" w:rsidR="00070889">
        <w:t xml:space="preserve"> to reflect the way in which students are funded and/or </w:t>
      </w:r>
      <w:r w:rsidR="000E34E0">
        <w:t>released</w:t>
      </w:r>
      <w:r w:rsidRPr="000E34E0" w:rsidR="00070889">
        <w:t xml:space="preserve"> to undertake continuing professional development</w:t>
      </w:r>
      <w:r w:rsidRPr="000E34E0">
        <w:t xml:space="preserve">. If </w:t>
      </w:r>
      <w:r w:rsidRPr="000E34E0">
        <w:lastRenderedPageBreak/>
        <w:t xml:space="preserve">this is the case, the student will take a single module within a defined </w:t>
      </w:r>
      <w:r w:rsidRPr="000E34E0" w:rsidR="001465A4">
        <w:t>block</w:t>
      </w:r>
      <w:r w:rsidRPr="000E34E0">
        <w:t xml:space="preserve">, complete the assessment for the module and then enrol on a subsequent module. </w:t>
      </w:r>
    </w:p>
    <w:p w:rsidR="005D1C0F" w:rsidP="005D1C0F" w:rsidRDefault="005D1C0F" w14:paraId="20B5CA25" w14:textId="77E8E8EC">
      <w:pPr>
        <w:pStyle w:val="ListParagraph"/>
      </w:pPr>
    </w:p>
    <w:p w:rsidRPr="003E3F90" w:rsidR="005D1C0F" w:rsidP="005D1C0F" w:rsidRDefault="005D1C0F" w14:paraId="09FF42E4" w14:textId="05F207EB">
      <w:r w:rsidRPr="006E16A3">
        <w:rPr>
          <w:b/>
          <w:bCs/>
        </w:rPr>
        <w:t>MSc programme</w:t>
      </w:r>
      <w:r>
        <w:rPr>
          <w:b/>
          <w:bCs/>
        </w:rPr>
        <w:t xml:space="preserve">s – indicative structures </w:t>
      </w:r>
    </w:p>
    <w:p w:rsidRPr="006E16A3" w:rsidR="003E3F90" w:rsidP="003E3F90" w:rsidRDefault="003E3F90" w14:paraId="1094ED08" w14:textId="350441C3">
      <w:pPr>
        <w:rPr>
          <w:b/>
          <w:bCs/>
        </w:rPr>
      </w:pPr>
      <w:r w:rsidRPr="006E16A3">
        <w:rPr>
          <w:b/>
          <w:bCs/>
        </w:rPr>
        <w:t>Figure 1: indicative structure for a full time MSc programme</w:t>
      </w:r>
    </w:p>
    <w:tbl>
      <w:tblPr>
        <w:tblStyle w:val="TableGrid"/>
        <w:tblW w:w="0" w:type="auto"/>
        <w:tblInd w:w="360" w:type="dxa"/>
        <w:tblLook w:val="04A0" w:firstRow="1" w:lastRow="0" w:firstColumn="1" w:lastColumn="0" w:noHBand="0" w:noVBand="1"/>
      </w:tblPr>
      <w:tblGrid>
        <w:gridCol w:w="2999"/>
        <w:gridCol w:w="2986"/>
        <w:gridCol w:w="3005"/>
      </w:tblGrid>
      <w:tr w:rsidRPr="003E3F90" w:rsidR="003E3F90" w:rsidTr="00953369" w14:paraId="36C78FC7" w14:textId="77777777">
        <w:tc>
          <w:tcPr>
            <w:tcW w:w="2999" w:type="dxa"/>
            <w:shd w:val="clear" w:color="auto" w:fill="C5E0B3" w:themeFill="accent6" w:themeFillTint="66"/>
          </w:tcPr>
          <w:p w:rsidRPr="003E3F90" w:rsidR="003E3F90" w:rsidP="003E3F90" w:rsidRDefault="003E3F90" w14:paraId="3C55F63E" w14:textId="77777777">
            <w:r w:rsidRPr="003E3F90">
              <w:t>Semester 1 (September to December)</w:t>
            </w:r>
          </w:p>
        </w:tc>
        <w:tc>
          <w:tcPr>
            <w:tcW w:w="2986" w:type="dxa"/>
            <w:shd w:val="clear" w:color="auto" w:fill="C5E0B3" w:themeFill="accent6" w:themeFillTint="66"/>
          </w:tcPr>
          <w:p w:rsidRPr="003E3F90" w:rsidR="003E3F90" w:rsidP="003E3F90" w:rsidRDefault="003E3F90" w14:paraId="48D4740D" w14:textId="77777777">
            <w:r w:rsidRPr="003E3F90">
              <w:t>Semester 2 (January to April)</w:t>
            </w:r>
          </w:p>
        </w:tc>
        <w:tc>
          <w:tcPr>
            <w:tcW w:w="3005" w:type="dxa"/>
            <w:shd w:val="clear" w:color="auto" w:fill="C5E0B3" w:themeFill="accent6" w:themeFillTint="66"/>
          </w:tcPr>
          <w:p w:rsidRPr="003E3F90" w:rsidR="003E3F90" w:rsidP="003E3F90" w:rsidRDefault="003E3F90" w14:paraId="1974F429" w14:textId="77777777">
            <w:r w:rsidRPr="003E3F90">
              <w:t>Semester 3 (May to August)</w:t>
            </w:r>
          </w:p>
        </w:tc>
      </w:tr>
      <w:tr w:rsidRPr="003E3F90" w:rsidR="003E3F90" w:rsidTr="00953369" w14:paraId="7454F5D3" w14:textId="77777777">
        <w:tc>
          <w:tcPr>
            <w:tcW w:w="2999" w:type="dxa"/>
          </w:tcPr>
          <w:p w:rsidRPr="003E3F90" w:rsidR="003E3F90" w:rsidP="003E3F90" w:rsidRDefault="003E3F90" w14:paraId="20E398B1" w14:textId="77777777">
            <w:r w:rsidRPr="003E3F90">
              <w:t>60 credits (taught modules)</w:t>
            </w:r>
          </w:p>
        </w:tc>
        <w:tc>
          <w:tcPr>
            <w:tcW w:w="2986" w:type="dxa"/>
          </w:tcPr>
          <w:p w:rsidRPr="003E3F90" w:rsidR="003E3F90" w:rsidP="003E3F90" w:rsidRDefault="003E3F90" w14:paraId="56657825" w14:textId="77777777">
            <w:r w:rsidRPr="003E3F90">
              <w:t>60 credits (taught modules)</w:t>
            </w:r>
          </w:p>
        </w:tc>
        <w:tc>
          <w:tcPr>
            <w:tcW w:w="3005" w:type="dxa"/>
          </w:tcPr>
          <w:p w:rsidRPr="003E3F90" w:rsidR="003E3F90" w:rsidP="003E3F90" w:rsidRDefault="003E3F90" w14:paraId="0DBF05FA" w14:textId="77777777">
            <w:r w:rsidRPr="003E3F90">
              <w:t xml:space="preserve">60 credit </w:t>
            </w:r>
            <w:proofErr w:type="gramStart"/>
            <w:r w:rsidRPr="003E3F90">
              <w:t>project</w:t>
            </w:r>
            <w:proofErr w:type="gramEnd"/>
            <w:r w:rsidRPr="003E3F90">
              <w:t xml:space="preserve"> (preparatory work for the project may begin in semester 2)</w:t>
            </w:r>
          </w:p>
        </w:tc>
      </w:tr>
    </w:tbl>
    <w:p w:rsidR="00953369" w:rsidP="00953369" w:rsidRDefault="00953369" w14:paraId="57645253" w14:textId="77777777"/>
    <w:p w:rsidRPr="006E16A3" w:rsidR="00953369" w:rsidP="00953369" w:rsidRDefault="00953369" w14:paraId="455AEBDC" w14:textId="4AB686F5">
      <w:pPr>
        <w:rPr>
          <w:b/>
          <w:bCs/>
        </w:rPr>
      </w:pPr>
      <w:r w:rsidRPr="006E16A3">
        <w:rPr>
          <w:b/>
          <w:bCs/>
        </w:rPr>
        <w:t>Figure 2: indicative structure for a part time MSc programme</w:t>
      </w:r>
    </w:p>
    <w:tbl>
      <w:tblPr>
        <w:tblStyle w:val="TableGrid"/>
        <w:tblW w:w="0" w:type="auto"/>
        <w:tblInd w:w="360" w:type="dxa"/>
        <w:tblLook w:val="04A0" w:firstRow="1" w:lastRow="0" w:firstColumn="1" w:lastColumn="0" w:noHBand="0" w:noVBand="1"/>
      </w:tblPr>
      <w:tblGrid>
        <w:gridCol w:w="2999"/>
        <w:gridCol w:w="2986"/>
        <w:gridCol w:w="3005"/>
      </w:tblGrid>
      <w:tr w:rsidRPr="003E3F90" w:rsidR="00953369" w:rsidTr="006E16A3" w14:paraId="6D0649D7" w14:textId="77777777">
        <w:tc>
          <w:tcPr>
            <w:tcW w:w="2999" w:type="dxa"/>
            <w:shd w:val="clear" w:color="auto" w:fill="C5E0B3" w:themeFill="accent6" w:themeFillTint="66"/>
          </w:tcPr>
          <w:p w:rsidRPr="003E3F90" w:rsidR="00953369" w:rsidP="0015240C" w:rsidRDefault="00953369" w14:paraId="4C1731A9" w14:textId="77777777">
            <w:r w:rsidRPr="003E3F90">
              <w:t>Semester 1 (September to December)</w:t>
            </w:r>
          </w:p>
        </w:tc>
        <w:tc>
          <w:tcPr>
            <w:tcW w:w="2986" w:type="dxa"/>
            <w:shd w:val="clear" w:color="auto" w:fill="C5E0B3" w:themeFill="accent6" w:themeFillTint="66"/>
          </w:tcPr>
          <w:p w:rsidRPr="003E3F90" w:rsidR="00953369" w:rsidP="0015240C" w:rsidRDefault="00953369" w14:paraId="30D8F8F6" w14:textId="77777777">
            <w:r w:rsidRPr="003E3F90">
              <w:t>Semester 2 (January to April)</w:t>
            </w:r>
          </w:p>
        </w:tc>
        <w:tc>
          <w:tcPr>
            <w:tcW w:w="3005" w:type="dxa"/>
            <w:shd w:val="clear" w:color="auto" w:fill="C5E0B3" w:themeFill="accent6" w:themeFillTint="66"/>
          </w:tcPr>
          <w:p w:rsidRPr="003E3F90" w:rsidR="00953369" w:rsidP="0015240C" w:rsidRDefault="00953369" w14:paraId="0ED3C3AC" w14:textId="77777777">
            <w:r w:rsidRPr="003E3F90">
              <w:t>Semester 3 (May to August)</w:t>
            </w:r>
          </w:p>
        </w:tc>
      </w:tr>
      <w:tr w:rsidRPr="003E3F90" w:rsidR="00953369" w:rsidTr="006E16A3" w14:paraId="4F65DF5F" w14:textId="77777777">
        <w:tc>
          <w:tcPr>
            <w:tcW w:w="2999" w:type="dxa"/>
            <w:tcBorders>
              <w:bottom w:val="single" w:color="auto" w:sz="4" w:space="0"/>
            </w:tcBorders>
          </w:tcPr>
          <w:p w:rsidRPr="003E3F90" w:rsidR="00953369" w:rsidP="0015240C" w:rsidRDefault="00206FEC" w14:paraId="254BAB54" w14:textId="665CC2DB">
            <w:r>
              <w:t xml:space="preserve">45 </w:t>
            </w:r>
            <w:r w:rsidRPr="003E3F90" w:rsidR="00953369">
              <w:t>credits (taught modules)</w:t>
            </w:r>
          </w:p>
        </w:tc>
        <w:tc>
          <w:tcPr>
            <w:tcW w:w="2986" w:type="dxa"/>
            <w:tcBorders>
              <w:bottom w:val="single" w:color="auto" w:sz="4" w:space="0"/>
            </w:tcBorders>
          </w:tcPr>
          <w:p w:rsidRPr="003E3F90" w:rsidR="00953369" w:rsidP="0015240C" w:rsidRDefault="00206FEC" w14:paraId="62F8707B" w14:textId="3B8BB1AD">
            <w:r>
              <w:t>30</w:t>
            </w:r>
            <w:r w:rsidRPr="003E3F90" w:rsidR="00953369">
              <w:t xml:space="preserve"> credits (taught modules)</w:t>
            </w:r>
          </w:p>
        </w:tc>
        <w:tc>
          <w:tcPr>
            <w:tcW w:w="3005" w:type="dxa"/>
            <w:tcBorders>
              <w:bottom w:val="single" w:color="auto" w:sz="4" w:space="0"/>
            </w:tcBorders>
          </w:tcPr>
          <w:p w:rsidRPr="003E3F90" w:rsidR="00953369" w:rsidP="0015240C" w:rsidRDefault="00206FEC" w14:paraId="70001D03" w14:textId="34BF6FAB">
            <w:r>
              <w:t>none</w:t>
            </w:r>
          </w:p>
        </w:tc>
      </w:tr>
      <w:tr w:rsidRPr="003E3F90" w:rsidR="006E16A3" w:rsidTr="00814069" w14:paraId="350B3F91" w14:textId="77777777">
        <w:tc>
          <w:tcPr>
            <w:tcW w:w="2999" w:type="dxa"/>
            <w:tcBorders>
              <w:bottom w:val="single" w:color="auto" w:sz="4" w:space="0"/>
            </w:tcBorders>
            <w:shd w:val="clear" w:color="auto" w:fill="C5E0B3" w:themeFill="accent6" w:themeFillTint="66"/>
          </w:tcPr>
          <w:p w:rsidRPr="003E3F90" w:rsidR="006E16A3" w:rsidP="006E16A3" w:rsidRDefault="006E16A3" w14:paraId="3EBEE624" w14:textId="45E754FF">
            <w:r w:rsidRPr="003E3F90">
              <w:t xml:space="preserve">Semester </w:t>
            </w:r>
            <w:r>
              <w:t>4</w:t>
            </w:r>
            <w:r w:rsidRPr="003E3F90">
              <w:t xml:space="preserve"> (September to December)</w:t>
            </w:r>
          </w:p>
        </w:tc>
        <w:tc>
          <w:tcPr>
            <w:tcW w:w="2986" w:type="dxa"/>
            <w:tcBorders>
              <w:bottom w:val="single" w:color="auto" w:sz="4" w:space="0"/>
            </w:tcBorders>
            <w:shd w:val="clear" w:color="auto" w:fill="C5E0B3" w:themeFill="accent6" w:themeFillTint="66"/>
          </w:tcPr>
          <w:p w:rsidRPr="003E3F90" w:rsidR="006E16A3" w:rsidP="006E16A3" w:rsidRDefault="006E16A3" w14:paraId="3C8FBD08" w14:textId="660D5C62">
            <w:r w:rsidRPr="003E3F90">
              <w:t xml:space="preserve">Semester </w:t>
            </w:r>
            <w:r>
              <w:t>5</w:t>
            </w:r>
            <w:r w:rsidRPr="003E3F90">
              <w:t xml:space="preserve"> (January to April)</w:t>
            </w:r>
          </w:p>
        </w:tc>
        <w:tc>
          <w:tcPr>
            <w:tcW w:w="3005" w:type="dxa"/>
            <w:tcBorders>
              <w:bottom w:val="single" w:color="auto" w:sz="4" w:space="0"/>
            </w:tcBorders>
            <w:shd w:val="clear" w:color="auto" w:fill="C5E0B3" w:themeFill="accent6" w:themeFillTint="66"/>
          </w:tcPr>
          <w:p w:rsidRPr="003E3F90" w:rsidR="006E16A3" w:rsidP="006E16A3" w:rsidRDefault="006E16A3" w14:paraId="7153C075" w14:textId="2D33D256">
            <w:r w:rsidRPr="003E3F90">
              <w:t xml:space="preserve">Semester </w:t>
            </w:r>
            <w:r>
              <w:t>6</w:t>
            </w:r>
            <w:r w:rsidRPr="003E3F90">
              <w:t xml:space="preserve"> (May to August)</w:t>
            </w:r>
          </w:p>
        </w:tc>
      </w:tr>
      <w:tr w:rsidRPr="003E3F90" w:rsidR="00814069" w:rsidTr="00814069" w14:paraId="035F7657" w14:textId="77777777">
        <w:trPr>
          <w:trHeight w:val="70"/>
        </w:trPr>
        <w:tc>
          <w:tcPr>
            <w:tcW w:w="2999" w:type="dxa"/>
            <w:tcBorders>
              <w:bottom w:val="nil"/>
            </w:tcBorders>
            <w:shd w:val="clear" w:color="auto" w:fill="FFFFFF" w:themeFill="background1"/>
          </w:tcPr>
          <w:p w:rsidRPr="003E3F90" w:rsidR="00814069" w:rsidP="00814069" w:rsidRDefault="00206FEC" w14:paraId="680A706C" w14:textId="3DD72674">
            <w:r>
              <w:t>30</w:t>
            </w:r>
            <w:r w:rsidRPr="00824807" w:rsidR="00814069">
              <w:t xml:space="preserve"> credits (taught modules)</w:t>
            </w:r>
          </w:p>
        </w:tc>
        <w:tc>
          <w:tcPr>
            <w:tcW w:w="2986" w:type="dxa"/>
            <w:tcBorders>
              <w:bottom w:val="nil"/>
            </w:tcBorders>
            <w:shd w:val="clear" w:color="auto" w:fill="FFFFFF" w:themeFill="background1"/>
          </w:tcPr>
          <w:p w:rsidRPr="003E3F90" w:rsidR="00814069" w:rsidP="00814069" w:rsidRDefault="00206FEC" w14:paraId="7387D000" w14:textId="1A34BC88">
            <w:r>
              <w:t>15</w:t>
            </w:r>
            <w:r w:rsidRPr="00824807" w:rsidR="00814069">
              <w:t xml:space="preserve"> credits (taught modules)</w:t>
            </w:r>
          </w:p>
        </w:tc>
        <w:tc>
          <w:tcPr>
            <w:tcW w:w="3005" w:type="dxa"/>
            <w:tcBorders>
              <w:bottom w:val="nil"/>
            </w:tcBorders>
            <w:shd w:val="clear" w:color="auto" w:fill="FFFFFF" w:themeFill="background1"/>
          </w:tcPr>
          <w:p w:rsidRPr="003E3F90" w:rsidR="00814069" w:rsidP="00814069" w:rsidRDefault="00814069" w14:paraId="3C437800" w14:textId="2FBFC14F">
            <w:r w:rsidRPr="003E3F90">
              <w:t xml:space="preserve">60 credit </w:t>
            </w:r>
            <w:proofErr w:type="gramStart"/>
            <w:r w:rsidRPr="003E3F90">
              <w:t>project</w:t>
            </w:r>
            <w:proofErr w:type="gramEnd"/>
            <w:r w:rsidRPr="003E3F90">
              <w:t xml:space="preserve"> (preparatory work for the project may begin in semester </w:t>
            </w:r>
            <w:r w:rsidR="00206FEC">
              <w:t>4</w:t>
            </w:r>
            <w:r w:rsidRPr="003E3F90">
              <w:t>)</w:t>
            </w:r>
          </w:p>
        </w:tc>
      </w:tr>
      <w:tr w:rsidRPr="003E3F90" w:rsidR="006E16A3" w:rsidTr="006E16A3" w14:paraId="3E8224FF" w14:textId="77777777">
        <w:tc>
          <w:tcPr>
            <w:tcW w:w="2999" w:type="dxa"/>
            <w:tcBorders>
              <w:top w:val="nil"/>
            </w:tcBorders>
          </w:tcPr>
          <w:p w:rsidRPr="003E3F90" w:rsidR="006E16A3" w:rsidP="0015240C" w:rsidRDefault="006E16A3" w14:paraId="4B326F97" w14:textId="77777777"/>
        </w:tc>
        <w:tc>
          <w:tcPr>
            <w:tcW w:w="2986" w:type="dxa"/>
            <w:tcBorders>
              <w:top w:val="nil"/>
            </w:tcBorders>
          </w:tcPr>
          <w:p w:rsidRPr="003E3F90" w:rsidR="006E16A3" w:rsidP="0015240C" w:rsidRDefault="006E16A3" w14:paraId="68EFD39D" w14:textId="77777777"/>
        </w:tc>
        <w:tc>
          <w:tcPr>
            <w:tcW w:w="3005" w:type="dxa"/>
            <w:tcBorders>
              <w:top w:val="nil"/>
            </w:tcBorders>
          </w:tcPr>
          <w:p w:rsidRPr="003E3F90" w:rsidR="006E16A3" w:rsidP="0015240C" w:rsidRDefault="006E16A3" w14:paraId="53960D1E" w14:textId="77777777"/>
        </w:tc>
      </w:tr>
    </w:tbl>
    <w:p w:rsidR="00246B07" w:rsidP="00953369" w:rsidRDefault="00246B07" w14:paraId="49D14AD2" w14:textId="77777777">
      <w:pPr>
        <w:jc w:val="both"/>
        <w:rPr>
          <w:rFonts w:ascii="Franklin Gothic Book" w:hAnsi="Franklin Gothic Book" w:cs="Arial"/>
        </w:rPr>
      </w:pPr>
    </w:p>
    <w:p w:rsidR="00953369" w:rsidP="00814069" w:rsidRDefault="00953369" w14:paraId="22116F3B" w14:textId="2D87BD60">
      <w:pPr>
        <w:pStyle w:val="ListParagraph"/>
        <w:numPr>
          <w:ilvl w:val="0"/>
          <w:numId w:val="12"/>
        </w:numPr>
      </w:pPr>
      <w:r w:rsidRPr="00814069">
        <w:t>The months referred to are illustrative and do not make any assumptions in relation to the academic year structure.</w:t>
      </w:r>
    </w:p>
    <w:p w:rsidRPr="00814069" w:rsidR="00814069" w:rsidP="00814069" w:rsidRDefault="00814069" w14:paraId="4B78DBC0" w14:textId="77777777">
      <w:pPr>
        <w:pStyle w:val="ListParagraph"/>
        <w:ind w:left="360"/>
      </w:pPr>
    </w:p>
    <w:p w:rsidRPr="003E3F90" w:rsidR="0039224D" w:rsidP="00814069" w:rsidRDefault="0039224D" w14:paraId="28FD81CC" w14:textId="09223BFA">
      <w:pPr>
        <w:pStyle w:val="ListParagraph"/>
        <w:numPr>
          <w:ilvl w:val="0"/>
          <w:numId w:val="12"/>
        </w:numPr>
      </w:pPr>
      <w:r w:rsidRPr="003E3F90">
        <w:t xml:space="preserve">Project modules will usually take place in a single semester.  Preparatory work for a project </w:t>
      </w:r>
      <w:r w:rsidR="00BC079D">
        <w:t>will usually</w:t>
      </w:r>
      <w:r w:rsidRPr="003E3F90">
        <w:t xml:space="preserve"> be included in a</w:t>
      </w:r>
      <w:r w:rsidR="00BC079D">
        <w:t xml:space="preserve"> separate</w:t>
      </w:r>
      <w:r w:rsidRPr="003E3F90">
        <w:t xml:space="preserve"> Research</w:t>
      </w:r>
      <w:r w:rsidR="001465A4">
        <w:t xml:space="preserve"> Project</w:t>
      </w:r>
      <w:r w:rsidRPr="003E3F90">
        <w:t xml:space="preserve"> Proposal module delivered in an</w:t>
      </w:r>
      <w:r w:rsidR="00BC079D">
        <w:t xml:space="preserve"> earlier</w:t>
      </w:r>
      <w:r w:rsidRPr="003E3F90">
        <w:t xml:space="preserve"> semester (for example semester 5 of an honours degree) with the project execution taking place in the subsequent semester (6). </w:t>
      </w:r>
    </w:p>
    <w:p w:rsidRPr="002457B9" w:rsidR="00814069" w:rsidP="003E3F90" w:rsidRDefault="00814069" w14:paraId="013C4105" w14:textId="77777777">
      <w:pPr>
        <w:rPr>
          <w:b/>
          <w:bCs/>
        </w:rPr>
      </w:pPr>
      <w:r w:rsidRPr="002457B9">
        <w:rPr>
          <w:b/>
          <w:bCs/>
        </w:rPr>
        <w:t xml:space="preserve">Credit requirements for SGUL awards </w:t>
      </w:r>
    </w:p>
    <w:p w:rsidR="0039224D" w:rsidP="00814069" w:rsidRDefault="0039224D" w14:paraId="206943DB" w14:textId="083E2871">
      <w:pPr>
        <w:pStyle w:val="ListParagraph"/>
        <w:numPr>
          <w:ilvl w:val="0"/>
          <w:numId w:val="12"/>
        </w:numPr>
      </w:pPr>
      <w:r w:rsidRPr="003E3F90">
        <w:t xml:space="preserve">Credit requirements for SGUL awards are set out in the </w:t>
      </w:r>
      <w:hyperlink w:history="1" r:id="rId12">
        <w:r w:rsidRPr="003E3F90">
          <w:rPr>
            <w:rStyle w:val="Hyperlink"/>
          </w:rPr>
          <w:t>Quality Manual</w:t>
        </w:r>
      </w:hyperlink>
      <w:r w:rsidR="001465A4">
        <w:t xml:space="preserve"> and, for ease of reference, are reproduced at </w:t>
      </w:r>
      <w:r w:rsidRPr="003E3F90">
        <w:t>appendix A.</w:t>
      </w:r>
    </w:p>
    <w:p w:rsidR="00814069" w:rsidP="00814069" w:rsidRDefault="00814069" w14:paraId="3DDE3BCF" w14:textId="11A9481F">
      <w:pPr>
        <w:pStyle w:val="ListParagraph"/>
        <w:ind w:left="360"/>
      </w:pPr>
    </w:p>
    <w:p w:rsidRPr="00814069" w:rsidR="00814069" w:rsidP="00814069" w:rsidRDefault="00814069" w14:paraId="26409186" w14:textId="4C80EA2E">
      <w:pPr>
        <w:pStyle w:val="ListParagraph"/>
        <w:ind w:left="0"/>
        <w:rPr>
          <w:b/>
          <w:bCs/>
        </w:rPr>
      </w:pPr>
      <w:r w:rsidRPr="00814069">
        <w:rPr>
          <w:b/>
          <w:bCs/>
        </w:rPr>
        <w:t>Programme structure</w:t>
      </w:r>
    </w:p>
    <w:p w:rsidRPr="003E3F90" w:rsidR="00814069" w:rsidP="00814069" w:rsidRDefault="00814069" w14:paraId="08A4CABE" w14:textId="77777777">
      <w:pPr>
        <w:pStyle w:val="ListParagraph"/>
        <w:ind w:left="360"/>
      </w:pPr>
    </w:p>
    <w:p w:rsidR="0039224D" w:rsidP="00814069" w:rsidRDefault="0039224D" w14:paraId="015CECBF" w14:textId="3A50910F">
      <w:pPr>
        <w:pStyle w:val="ListParagraph"/>
        <w:numPr>
          <w:ilvl w:val="0"/>
          <w:numId w:val="12"/>
        </w:numPr>
      </w:pPr>
      <w:r w:rsidRPr="003E3F90">
        <w:t>Modules are core (</w:t>
      </w:r>
      <w:r w:rsidRPr="00814069">
        <w:t>required</w:t>
      </w:r>
      <w:r w:rsidRPr="003E3F90">
        <w:t xml:space="preserve"> for an award), optional (available on an opt-in basis to students registered for an award) or open choice (available to any students who meet predetermined entry requirements).</w:t>
      </w:r>
    </w:p>
    <w:p w:rsidRPr="003E3F90" w:rsidR="00814069" w:rsidP="00814069" w:rsidRDefault="00814069" w14:paraId="3FD9C970" w14:textId="77777777">
      <w:pPr>
        <w:pStyle w:val="ListParagraph"/>
        <w:ind w:left="360"/>
      </w:pPr>
    </w:p>
    <w:p w:rsidR="00530E0F" w:rsidP="00530E0F" w:rsidRDefault="0039224D" w14:paraId="172D9205" w14:textId="032DB94E">
      <w:pPr>
        <w:pStyle w:val="ListParagraph"/>
        <w:numPr>
          <w:ilvl w:val="0"/>
          <w:numId w:val="12"/>
        </w:numPr>
      </w:pPr>
      <w:r w:rsidRPr="00463D0C">
        <w:lastRenderedPageBreak/>
        <w:t xml:space="preserve">The internal structure of programmes (i.e. the balance between core, optional and open choice modules) </w:t>
      </w:r>
      <w:r w:rsidRPr="00463D0C" w:rsidR="00246B07">
        <w:t>can</w:t>
      </w:r>
      <w:r w:rsidRPr="00463D0C">
        <w:t xml:space="preserve"> be determined</w:t>
      </w:r>
      <w:r w:rsidRPr="00463D0C" w:rsidR="00246B07">
        <w:t xml:space="preserve"> at the programme level</w:t>
      </w:r>
      <w:r w:rsidRPr="00463D0C">
        <w:t>.</w:t>
      </w:r>
      <w:r w:rsidRPr="00463D0C" w:rsidR="00246B07">
        <w:t xml:space="preserve"> </w:t>
      </w:r>
      <w:r w:rsidRPr="00463D0C" w:rsidR="00AB0C3E">
        <w:t>However, all programmes must include optional modules</w:t>
      </w:r>
      <w:r w:rsidRPr="00463D0C" w:rsidR="008A502D">
        <w:t xml:space="preserve"> and will normally include open choice modules</w:t>
      </w:r>
      <w:r w:rsidRPr="00463D0C" w:rsidR="00AB0C3E">
        <w:t>.</w:t>
      </w:r>
      <w:r w:rsidRPr="00463D0C" w:rsidR="008A502D">
        <w:t xml:space="preserve"> </w:t>
      </w:r>
    </w:p>
    <w:p w:rsidR="00530E0F" w:rsidP="00530E0F" w:rsidRDefault="00530E0F" w14:paraId="5EF5CFB1" w14:textId="77777777">
      <w:pPr>
        <w:pStyle w:val="ListParagraph"/>
        <w:ind w:left="360"/>
      </w:pPr>
    </w:p>
    <w:p w:rsidR="00814069" w:rsidP="00814069" w:rsidRDefault="00246B07" w14:paraId="7D67D92D" w14:textId="2CBC10F8">
      <w:pPr>
        <w:pStyle w:val="ListParagraph"/>
        <w:numPr>
          <w:ilvl w:val="0"/>
          <w:numId w:val="12"/>
        </w:numPr>
      </w:pPr>
      <w:r w:rsidRPr="00814069">
        <w:t xml:space="preserve">Typically, open choice modules will not exceed 30% of the credit required for the award. </w:t>
      </w:r>
    </w:p>
    <w:p w:rsidR="00530E0F" w:rsidP="00530E0F" w:rsidRDefault="00530E0F" w14:paraId="1EB32BB9" w14:textId="77777777">
      <w:pPr>
        <w:pStyle w:val="ListParagraph"/>
      </w:pPr>
    </w:p>
    <w:p w:rsidR="00530E0F" w:rsidP="00530E0F" w:rsidRDefault="00530E0F" w14:paraId="57B6E670" w14:textId="1E947822">
      <w:pPr>
        <w:pStyle w:val="ListParagraph"/>
        <w:pBdr>
          <w:top w:val="single" w:color="auto" w:sz="4" w:space="1"/>
          <w:left w:val="single" w:color="auto" w:sz="4" w:space="4"/>
          <w:bottom w:val="single" w:color="auto" w:sz="4" w:space="1"/>
          <w:right w:val="single" w:color="auto" w:sz="4" w:space="4"/>
        </w:pBdr>
        <w:shd w:val="clear" w:color="auto" w:fill="E2EFD9" w:themeFill="accent6" w:themeFillTint="33"/>
        <w:ind w:left="360"/>
      </w:pPr>
      <w:r>
        <w:t xml:space="preserve">The emphasis on open choice modules is aspirational. This reflects the fact that very few open choice modules are currently available. Programme teams are asked to consider where, in their programme, </w:t>
      </w:r>
      <w:r w:rsidR="009D6BF0">
        <w:t xml:space="preserve">open </w:t>
      </w:r>
      <w:r>
        <w:t xml:space="preserve">choice modules might be accommodated if more become available. Teams are also </w:t>
      </w:r>
      <w:r w:rsidR="009D6BF0">
        <w:t xml:space="preserve">asked </w:t>
      </w:r>
      <w:r>
        <w:t>to consider which of their modules might be made available as open choice modules.</w:t>
      </w:r>
    </w:p>
    <w:p w:rsidRPr="00814069" w:rsidR="00814069" w:rsidP="00814069" w:rsidRDefault="00814069" w14:paraId="730E0F24" w14:textId="77777777">
      <w:pPr>
        <w:pStyle w:val="ListParagraph"/>
        <w:ind w:left="360"/>
      </w:pPr>
    </w:p>
    <w:p w:rsidR="00814069" w:rsidP="00814069" w:rsidRDefault="0039224D" w14:paraId="1B3976BF" w14:textId="62183B5B">
      <w:pPr>
        <w:pStyle w:val="ListParagraph"/>
        <w:numPr>
          <w:ilvl w:val="0"/>
          <w:numId w:val="12"/>
        </w:numPr>
      </w:pPr>
      <w:r w:rsidRPr="003E3F90">
        <w:t xml:space="preserve">Modules may have pre- and co-requisites. </w:t>
      </w:r>
    </w:p>
    <w:p w:rsidRPr="00814069" w:rsidR="00814069" w:rsidP="00814069" w:rsidRDefault="00814069" w14:paraId="265E4BD5" w14:textId="2A5D15F1">
      <w:pPr>
        <w:rPr>
          <w:b/>
          <w:bCs/>
        </w:rPr>
      </w:pPr>
      <w:r w:rsidRPr="00814069">
        <w:rPr>
          <w:b/>
          <w:bCs/>
        </w:rPr>
        <w:t>Learning outcomes</w:t>
      </w:r>
    </w:p>
    <w:p w:rsidR="0039224D" w:rsidP="00814069" w:rsidRDefault="0039224D" w14:paraId="0FC97876" w14:textId="527B372E">
      <w:pPr>
        <w:pStyle w:val="ListParagraph"/>
        <w:numPr>
          <w:ilvl w:val="0"/>
          <w:numId w:val="12"/>
        </w:numPr>
      </w:pPr>
      <w:r w:rsidRPr="003E3F90">
        <w:t xml:space="preserve">The number of learning outcomes for a module </w:t>
      </w:r>
      <w:r w:rsidR="00814069">
        <w:t>are</w:t>
      </w:r>
      <w:r w:rsidRPr="003E3F90">
        <w:t xml:space="preserve"> prescribed (</w:t>
      </w:r>
      <w:r w:rsidR="0089203A">
        <w:t>typically</w:t>
      </w:r>
      <w:r w:rsidR="00463D0C">
        <w:t>,</w:t>
      </w:r>
      <w:r w:rsidR="0089203A">
        <w:t xml:space="preserve"> </w:t>
      </w:r>
      <w:r w:rsidRPr="003E3F90">
        <w:t>four for a 15-credit module</w:t>
      </w:r>
      <w:r w:rsidR="0089203A">
        <w:t xml:space="preserve"> and no more than seven</w:t>
      </w:r>
      <w:r w:rsidRPr="003E3F90">
        <w:t xml:space="preserve">; </w:t>
      </w:r>
      <w:r w:rsidR="00463D0C">
        <w:t xml:space="preserve">typically, </w:t>
      </w:r>
      <w:r w:rsidRPr="003E3F90">
        <w:t>seven for a 30-credit module</w:t>
      </w:r>
      <w:r w:rsidR="0089203A">
        <w:t xml:space="preserve"> and no more than 10</w:t>
      </w:r>
      <w:r w:rsidRPr="003E3F90">
        <w:t>).</w:t>
      </w:r>
    </w:p>
    <w:p w:rsidR="00814069" w:rsidP="00814069" w:rsidRDefault="00814069" w14:paraId="323376FC" w14:textId="749DCD5B">
      <w:pPr>
        <w:rPr>
          <w:b/>
          <w:bCs/>
        </w:rPr>
      </w:pPr>
      <w:r w:rsidRPr="00814069">
        <w:rPr>
          <w:b/>
          <w:bCs/>
        </w:rPr>
        <w:t>Assessment</w:t>
      </w:r>
    </w:p>
    <w:p w:rsidR="002E5EEF" w:rsidP="002E5EEF" w:rsidRDefault="002E5EEF" w14:paraId="46E60740" w14:textId="2C91FADF">
      <w:pPr>
        <w:ind w:firstLine="360"/>
        <w:rPr>
          <w:b/>
          <w:bCs/>
        </w:rPr>
      </w:pPr>
      <w:r>
        <w:rPr>
          <w:b/>
          <w:bCs/>
        </w:rPr>
        <w:t>See the glossary of assessment terms</w:t>
      </w:r>
    </w:p>
    <w:p w:rsidR="00280F34" w:rsidP="00814069" w:rsidRDefault="00280F34" w14:paraId="7544A6C6" w14:textId="67E59108">
      <w:pPr>
        <w:pStyle w:val="ListParagraph"/>
        <w:numPr>
          <w:ilvl w:val="0"/>
          <w:numId w:val="12"/>
        </w:numPr>
      </w:pPr>
      <w:r w:rsidRPr="003E3F90">
        <w:t xml:space="preserve">Credit is awarded for successfully completing an assessment </w:t>
      </w:r>
      <w:r>
        <w:t>element</w:t>
      </w:r>
      <w:r w:rsidRPr="003E3F90">
        <w:t xml:space="preserve"> or </w:t>
      </w:r>
      <w:r>
        <w:t xml:space="preserve">elements </w:t>
      </w:r>
      <w:r w:rsidRPr="003E3F90">
        <w:t xml:space="preserve">that confirm that the student has met the learning outcomes for the module. </w:t>
      </w:r>
    </w:p>
    <w:p w:rsidRPr="00280F34" w:rsidR="00280F34" w:rsidP="00280F34" w:rsidRDefault="00280F34" w14:paraId="44E73415" w14:textId="77777777">
      <w:pPr>
        <w:pStyle w:val="ListParagraph"/>
        <w:ind w:left="360"/>
      </w:pPr>
    </w:p>
    <w:p w:rsidR="00AB6B2B" w:rsidP="00AB6B2B" w:rsidRDefault="0039224D" w14:paraId="7260C7B8" w14:textId="08DBCB4A">
      <w:pPr>
        <w:pStyle w:val="ListParagraph"/>
        <w:numPr>
          <w:ilvl w:val="0"/>
          <w:numId w:val="12"/>
        </w:numPr>
      </w:pPr>
      <w:r w:rsidRPr="003E3F90">
        <w:t xml:space="preserve">The number of assessment </w:t>
      </w:r>
      <w:r w:rsidR="00280F34">
        <w:t xml:space="preserve">elements </w:t>
      </w:r>
      <w:r w:rsidRPr="003E3F90">
        <w:t xml:space="preserve">for a module </w:t>
      </w:r>
      <w:r w:rsidR="00814069">
        <w:t>are</w:t>
      </w:r>
      <w:r w:rsidRPr="003E3F90">
        <w:t xml:space="preserve"> prescribed. There will usually be one for a 15-credit module although there may be two if there is an educational rationale. There will usually be two for a 30-credit module. This prescription provides the starting point for achieving consistency between modules and programmes; and will simplify the process of drafting university-wide assessment regulations.</w:t>
      </w:r>
    </w:p>
    <w:p w:rsidR="00280F34" w:rsidP="00280F34" w:rsidRDefault="00280F34" w14:paraId="18EC26D1" w14:textId="77777777">
      <w:pPr>
        <w:pStyle w:val="ListParagraph"/>
      </w:pPr>
    </w:p>
    <w:p w:rsidR="00280F34" w:rsidP="00AB6B2B" w:rsidRDefault="00280F34" w14:paraId="670A8062" w14:textId="23110C37">
      <w:pPr>
        <w:pStyle w:val="ListParagraph"/>
        <w:numPr>
          <w:ilvl w:val="0"/>
          <w:numId w:val="12"/>
        </w:numPr>
      </w:pPr>
      <w:r>
        <w:t xml:space="preserve">The weighting between assessment elements may vary depending on the role of the elements in the assessment of the learning outcomes.  In the following example, </w:t>
      </w:r>
      <w:r w:rsidR="001A2373">
        <w:t xml:space="preserve">the </w:t>
      </w:r>
      <w:r w:rsidRPr="001A2373" w:rsidR="001A2373">
        <w:t xml:space="preserve">Critical Evaluative Report plays a greater role in assessing the Intended learning outcomes for the module. </w:t>
      </w:r>
    </w:p>
    <w:p w:rsidR="00280F34" w:rsidP="00280F34" w:rsidRDefault="00280F34" w14:paraId="0806D0A8" w14:textId="77777777">
      <w:pPr>
        <w:pStyle w:val="ListParagrap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167"/>
        <w:gridCol w:w="840"/>
        <w:gridCol w:w="739"/>
        <w:gridCol w:w="1403"/>
        <w:gridCol w:w="1326"/>
        <w:gridCol w:w="900"/>
        <w:gridCol w:w="674"/>
        <w:gridCol w:w="448"/>
        <w:gridCol w:w="1853"/>
      </w:tblGrid>
      <w:tr w:rsidRPr="0091154C" w:rsidR="001A2373" w:rsidTr="006A4ACC" w14:paraId="31CE4253" w14:textId="77777777">
        <w:tc>
          <w:tcPr>
            <w:tcW w:w="0" w:type="auto"/>
            <w:tcBorders>
              <w:top w:val="single" w:color="auto" w:sz="4" w:space="0"/>
              <w:left w:val="single" w:color="auto" w:sz="4" w:space="0"/>
              <w:right w:val="single" w:color="auto" w:sz="4" w:space="0"/>
            </w:tcBorders>
          </w:tcPr>
          <w:p w:rsidRPr="001A2373" w:rsidR="00280F34" w:rsidP="00280F34" w:rsidRDefault="00280F34" w14:paraId="249D4F94" w14:textId="5140EFAA">
            <w:pPr>
              <w:spacing w:after="0" w:line="240" w:lineRule="auto"/>
              <w:ind w:left="113" w:right="23"/>
              <w:rPr>
                <w:rFonts w:cstheme="minorHAnsi"/>
                <w:b/>
                <w:sz w:val="18"/>
                <w:szCs w:val="18"/>
              </w:rPr>
            </w:pPr>
            <w:r w:rsidRPr="001A2373">
              <w:rPr>
                <w:rFonts w:cstheme="minorHAnsi"/>
                <w:b/>
                <w:sz w:val="18"/>
                <w:szCs w:val="18"/>
              </w:rPr>
              <w:t>Module title</w:t>
            </w:r>
          </w:p>
        </w:tc>
        <w:tc>
          <w:tcPr>
            <w:tcW w:w="0" w:type="auto"/>
            <w:tcBorders>
              <w:top w:val="single" w:color="auto" w:sz="4" w:space="0"/>
              <w:left w:val="single" w:color="auto" w:sz="4" w:space="0"/>
              <w:right w:val="single" w:color="auto" w:sz="4" w:space="0"/>
            </w:tcBorders>
          </w:tcPr>
          <w:p w:rsidRPr="001A2373" w:rsidR="00280F34" w:rsidP="00280F34" w:rsidRDefault="00280F34" w14:paraId="4202A493" w14:textId="4DDF48ED">
            <w:pPr>
              <w:spacing w:after="0" w:line="240" w:lineRule="auto"/>
              <w:ind w:left="113" w:right="23"/>
              <w:rPr>
                <w:rFonts w:cstheme="minorHAnsi"/>
                <w:b/>
                <w:sz w:val="18"/>
                <w:szCs w:val="18"/>
              </w:rPr>
            </w:pPr>
            <w:r w:rsidRPr="001A2373">
              <w:rPr>
                <w:rFonts w:cstheme="minorHAnsi"/>
                <w:b/>
                <w:sz w:val="18"/>
                <w:szCs w:val="18"/>
              </w:rPr>
              <w:t>Credit value</w:t>
            </w:r>
          </w:p>
        </w:tc>
        <w:tc>
          <w:tcPr>
            <w:tcW w:w="0" w:type="auto"/>
            <w:tcBorders>
              <w:top w:val="single" w:color="auto" w:sz="4" w:space="0"/>
              <w:left w:val="single" w:color="auto" w:sz="4" w:space="0"/>
              <w:right w:val="single" w:color="auto" w:sz="4" w:space="0"/>
            </w:tcBorders>
          </w:tcPr>
          <w:p w:rsidRPr="001A2373" w:rsidR="00280F34" w:rsidP="00280F34" w:rsidRDefault="00280F34" w14:paraId="7A708400" w14:textId="3C9CF790">
            <w:pPr>
              <w:spacing w:after="0" w:line="240" w:lineRule="auto"/>
              <w:ind w:left="113" w:right="23"/>
              <w:rPr>
                <w:rFonts w:cstheme="minorHAnsi"/>
                <w:b/>
                <w:sz w:val="18"/>
                <w:szCs w:val="18"/>
              </w:rPr>
            </w:pPr>
            <w:r w:rsidRPr="001A2373">
              <w:rPr>
                <w:rFonts w:cstheme="minorHAnsi"/>
                <w:b/>
                <w:sz w:val="18"/>
                <w:szCs w:val="18"/>
              </w:rPr>
              <w:t>Level</w:t>
            </w:r>
          </w:p>
        </w:tc>
        <w:tc>
          <w:tcPr>
            <w:tcW w:w="0" w:type="auto"/>
            <w:tcBorders>
              <w:top w:val="single" w:color="auto" w:sz="4" w:space="0"/>
              <w:left w:val="single" w:color="auto" w:sz="4" w:space="0"/>
              <w:right w:val="single" w:color="auto" w:sz="4" w:space="0"/>
            </w:tcBorders>
          </w:tcPr>
          <w:p w:rsidRPr="001A2373" w:rsidR="00280F34" w:rsidP="00280F34" w:rsidRDefault="00280F34" w14:paraId="4984E3B8" w14:textId="24D45199">
            <w:pPr>
              <w:spacing w:after="0" w:line="240" w:lineRule="auto"/>
              <w:ind w:left="113" w:right="23"/>
              <w:rPr>
                <w:rFonts w:cstheme="minorHAnsi"/>
                <w:b/>
                <w:sz w:val="18"/>
                <w:szCs w:val="18"/>
              </w:rPr>
            </w:pPr>
            <w:r w:rsidRPr="001A2373">
              <w:rPr>
                <w:rFonts w:cstheme="minorHAnsi"/>
                <w:b/>
                <w:sz w:val="18"/>
                <w:szCs w:val="18"/>
              </w:rPr>
              <w:t>Core/optional</w:t>
            </w:r>
          </w:p>
        </w:tc>
        <w:tc>
          <w:tcPr>
            <w:tcW w:w="0" w:type="auto"/>
            <w:tcBorders>
              <w:top w:val="single" w:color="auto" w:sz="4" w:space="0"/>
              <w:left w:val="single" w:color="auto" w:sz="4" w:space="0"/>
              <w:bottom w:val="single" w:color="auto" w:sz="4" w:space="0"/>
              <w:right w:val="single" w:color="auto" w:sz="4" w:space="0"/>
            </w:tcBorders>
          </w:tcPr>
          <w:p w:rsidRPr="001A2373" w:rsidR="00280F34" w:rsidP="00280F34" w:rsidRDefault="00280F34" w14:paraId="0A20DD18" w14:textId="4E220BDF">
            <w:pPr>
              <w:spacing w:after="0" w:line="240" w:lineRule="auto"/>
              <w:ind w:left="113" w:right="23"/>
              <w:rPr>
                <w:rFonts w:cstheme="minorHAnsi"/>
                <w:b/>
                <w:sz w:val="18"/>
                <w:szCs w:val="18"/>
              </w:rPr>
            </w:pPr>
            <w:r w:rsidRPr="001A2373">
              <w:rPr>
                <w:rFonts w:cstheme="minorHAnsi"/>
                <w:b/>
                <w:sz w:val="18"/>
                <w:szCs w:val="18"/>
              </w:rPr>
              <w:t>Element</w:t>
            </w:r>
          </w:p>
        </w:tc>
        <w:tc>
          <w:tcPr>
            <w:tcW w:w="0" w:type="auto"/>
            <w:tcBorders>
              <w:top w:val="single" w:color="auto" w:sz="4" w:space="0"/>
              <w:left w:val="single" w:color="auto" w:sz="4" w:space="0"/>
              <w:bottom w:val="single" w:color="auto" w:sz="4" w:space="0"/>
              <w:right w:val="single" w:color="auto" w:sz="4" w:space="0"/>
            </w:tcBorders>
            <w:textDirection w:val="tbRl"/>
          </w:tcPr>
          <w:p w:rsidRPr="001A2373" w:rsidR="00280F34" w:rsidP="00280F34" w:rsidRDefault="00280F34" w14:paraId="267C31C2" w14:textId="77777777">
            <w:pPr>
              <w:spacing w:after="0" w:line="240" w:lineRule="auto"/>
              <w:ind w:left="113" w:right="23"/>
              <w:rPr>
                <w:rFonts w:cstheme="minorHAnsi"/>
                <w:b/>
                <w:sz w:val="18"/>
                <w:szCs w:val="18"/>
              </w:rPr>
            </w:pPr>
            <w:r w:rsidRPr="001A2373">
              <w:rPr>
                <w:rFonts w:cstheme="minorHAnsi"/>
                <w:b/>
                <w:sz w:val="18"/>
                <w:szCs w:val="18"/>
              </w:rPr>
              <w:t xml:space="preserve">Learning Outcomes </w:t>
            </w:r>
          </w:p>
          <w:p w:rsidRPr="001A2373" w:rsidR="00280F34" w:rsidP="00280F34" w:rsidRDefault="00280F34" w14:paraId="058D9C06" w14:textId="77777777">
            <w:pPr>
              <w:spacing w:after="0" w:line="240" w:lineRule="auto"/>
              <w:ind w:left="113" w:right="23"/>
              <w:rPr>
                <w:rFonts w:cstheme="minorHAnsi"/>
                <w:b/>
                <w:sz w:val="18"/>
                <w:szCs w:val="18"/>
              </w:rPr>
            </w:pPr>
            <w:r w:rsidRPr="001A2373">
              <w:rPr>
                <w:rFonts w:cstheme="minorHAnsi"/>
                <w:b/>
                <w:sz w:val="18"/>
                <w:szCs w:val="18"/>
              </w:rPr>
              <w:t xml:space="preserve">Assessed </w:t>
            </w:r>
          </w:p>
          <w:p w:rsidRPr="001A2373" w:rsidR="00280F34" w:rsidP="00280F34" w:rsidRDefault="00280F34" w14:paraId="29CE8DA1" w14:textId="24A73CAB">
            <w:pPr>
              <w:spacing w:after="0" w:line="240" w:lineRule="auto"/>
              <w:ind w:left="113" w:right="23"/>
              <w:rPr>
                <w:rFonts w:cstheme="minorHAnsi"/>
                <w:b/>
                <w:sz w:val="18"/>
                <w:szCs w:val="18"/>
              </w:rPr>
            </w:pPr>
            <w:r w:rsidRPr="001A2373">
              <w:rPr>
                <w:rFonts w:cstheme="minorHAnsi"/>
                <w:b/>
                <w:sz w:val="18"/>
                <w:szCs w:val="18"/>
              </w:rPr>
              <w:t>(FHSCE – as module outline numbered list)</w:t>
            </w:r>
          </w:p>
        </w:tc>
        <w:tc>
          <w:tcPr>
            <w:tcW w:w="0" w:type="auto"/>
            <w:tcBorders>
              <w:top w:val="single" w:color="auto" w:sz="4" w:space="0"/>
              <w:left w:val="single" w:color="auto" w:sz="4" w:space="0"/>
              <w:bottom w:val="single" w:color="auto" w:sz="4" w:space="0"/>
              <w:right w:val="single" w:color="auto" w:sz="4" w:space="0"/>
            </w:tcBorders>
            <w:textDirection w:val="tbRl"/>
          </w:tcPr>
          <w:p w:rsidRPr="001A2373" w:rsidR="00280F34" w:rsidP="00280F34" w:rsidRDefault="00280F34" w14:paraId="3ECF1F39" w14:textId="77777777">
            <w:pPr>
              <w:spacing w:after="0" w:line="240" w:lineRule="auto"/>
              <w:ind w:left="113" w:right="23"/>
              <w:rPr>
                <w:rFonts w:cstheme="minorHAnsi"/>
                <w:b/>
                <w:sz w:val="18"/>
                <w:szCs w:val="18"/>
              </w:rPr>
            </w:pPr>
            <w:r w:rsidRPr="001A2373">
              <w:rPr>
                <w:rFonts w:cstheme="minorHAnsi"/>
                <w:b/>
                <w:sz w:val="18"/>
                <w:szCs w:val="18"/>
              </w:rPr>
              <w:t>Weighting %</w:t>
            </w:r>
          </w:p>
          <w:p w:rsidRPr="001A2373" w:rsidR="00280F34" w:rsidP="00280F34" w:rsidRDefault="00280F34" w14:paraId="741C1DE5" w14:textId="2AEDA2E7">
            <w:pPr>
              <w:spacing w:after="0" w:line="240" w:lineRule="auto"/>
              <w:ind w:left="113" w:right="23"/>
              <w:rPr>
                <w:rFonts w:cstheme="minorHAnsi"/>
                <w:b/>
                <w:sz w:val="18"/>
                <w:szCs w:val="18"/>
              </w:rPr>
            </w:pPr>
            <w:r w:rsidRPr="001A2373">
              <w:rPr>
                <w:rFonts w:cstheme="minorHAnsi"/>
                <w:b/>
                <w:sz w:val="18"/>
                <w:szCs w:val="18"/>
              </w:rPr>
              <w:t>(or Pass/Fail only)</w:t>
            </w:r>
          </w:p>
        </w:tc>
        <w:tc>
          <w:tcPr>
            <w:tcW w:w="0" w:type="auto"/>
            <w:tcBorders>
              <w:top w:val="single" w:color="auto" w:sz="4" w:space="0"/>
              <w:left w:val="single" w:color="auto" w:sz="4" w:space="0"/>
              <w:right w:val="single" w:color="auto" w:sz="4" w:space="0"/>
            </w:tcBorders>
            <w:textDirection w:val="tbRl"/>
          </w:tcPr>
          <w:p w:rsidRPr="001A2373" w:rsidR="00280F34" w:rsidP="00280F34" w:rsidRDefault="00280F34" w14:paraId="75B3D42C" w14:textId="798F3F8C">
            <w:pPr>
              <w:spacing w:after="0" w:line="240" w:lineRule="auto"/>
              <w:ind w:left="113" w:right="23"/>
              <w:rPr>
                <w:rFonts w:cstheme="minorHAnsi"/>
                <w:b/>
                <w:sz w:val="18"/>
                <w:szCs w:val="18"/>
              </w:rPr>
            </w:pPr>
            <w:r w:rsidRPr="001A2373">
              <w:rPr>
                <w:rFonts w:cstheme="minorHAnsi"/>
                <w:b/>
                <w:sz w:val="18"/>
                <w:szCs w:val="18"/>
              </w:rPr>
              <w:t>Timing (month/ term/ semester)</w:t>
            </w:r>
          </w:p>
        </w:tc>
        <w:tc>
          <w:tcPr>
            <w:tcW w:w="0" w:type="auto"/>
            <w:tcBorders>
              <w:top w:val="single" w:color="auto" w:sz="4" w:space="0"/>
              <w:left w:val="single" w:color="auto" w:sz="4" w:space="0"/>
              <w:right w:val="single" w:color="auto" w:sz="4" w:space="0"/>
            </w:tcBorders>
          </w:tcPr>
          <w:p w:rsidRPr="001A2373" w:rsidR="00280F34" w:rsidP="00280F34" w:rsidRDefault="00280F34" w14:paraId="0785D094" w14:textId="77777777">
            <w:pPr>
              <w:spacing w:after="0" w:line="240" w:lineRule="auto"/>
              <w:ind w:left="113" w:right="23"/>
              <w:rPr>
                <w:rFonts w:cstheme="minorHAnsi"/>
                <w:b/>
                <w:sz w:val="18"/>
                <w:szCs w:val="18"/>
              </w:rPr>
            </w:pPr>
            <w:r w:rsidRPr="001A2373">
              <w:rPr>
                <w:rFonts w:cstheme="minorHAnsi"/>
                <w:b/>
                <w:sz w:val="18"/>
                <w:szCs w:val="18"/>
              </w:rPr>
              <w:t>ACHIEVING A PASS</w:t>
            </w:r>
          </w:p>
          <w:p w:rsidRPr="001A2373" w:rsidR="00280F34" w:rsidP="00280F34" w:rsidRDefault="00280F34" w14:paraId="0EDF911A" w14:textId="339F74D7">
            <w:pPr>
              <w:pStyle w:val="HTMLPreformatted"/>
              <w:ind w:left="113" w:right="23"/>
              <w:rPr>
                <w:rFonts w:asciiTheme="minorHAnsi" w:hAnsiTheme="minorHAnsi" w:eastAsiaTheme="minorHAnsi" w:cstheme="minorHAnsi"/>
                <w:b/>
                <w:sz w:val="18"/>
                <w:szCs w:val="18"/>
                <w:lang w:val="en-US" w:eastAsia="en-US"/>
              </w:rPr>
            </w:pPr>
            <w:r w:rsidRPr="001A2373">
              <w:rPr>
                <w:rFonts w:asciiTheme="minorHAnsi" w:hAnsiTheme="minorHAnsi" w:eastAsiaTheme="minorHAnsi" w:cstheme="minorHAnsi"/>
                <w:b/>
                <w:sz w:val="18"/>
                <w:szCs w:val="18"/>
                <w:lang w:val="en-US" w:eastAsia="en-US"/>
              </w:rPr>
              <w:t>(confirm if an assessment element, or group of elements, must be passed separately to achieve an overall pass for module)</w:t>
            </w:r>
          </w:p>
        </w:tc>
      </w:tr>
      <w:tr w:rsidRPr="0091154C" w:rsidR="00EF166B" w:rsidTr="00BF2972" w14:paraId="0AD9B2C1" w14:textId="77777777">
        <w:tc>
          <w:tcPr>
            <w:tcW w:w="0" w:type="auto"/>
            <w:vMerge w:val="restart"/>
            <w:tcBorders>
              <w:top w:val="single" w:color="auto" w:sz="4" w:space="0"/>
              <w:left w:val="single" w:color="auto" w:sz="4" w:space="0"/>
              <w:right w:val="single" w:color="auto" w:sz="4" w:space="0"/>
            </w:tcBorders>
          </w:tcPr>
          <w:p w:rsidRPr="001A2373" w:rsidR="00EF166B" w:rsidP="00D4103F" w:rsidRDefault="00EF166B" w14:paraId="2BE98C95" w14:textId="009309C9">
            <w:pPr>
              <w:spacing w:line="276" w:lineRule="auto"/>
              <w:rPr>
                <w:rFonts w:eastAsia="Calibri" w:cstheme="minorHAnsi"/>
                <w:bCs/>
                <w:sz w:val="18"/>
                <w:szCs w:val="18"/>
              </w:rPr>
            </w:pPr>
            <w:r w:rsidRPr="001A2373">
              <w:rPr>
                <w:rFonts w:eastAsia="Calibri" w:cstheme="minorHAnsi"/>
                <w:bCs/>
                <w:sz w:val="18"/>
                <w:szCs w:val="18"/>
              </w:rPr>
              <w:t>Principles of effective curriculum design</w:t>
            </w:r>
          </w:p>
        </w:tc>
        <w:tc>
          <w:tcPr>
            <w:tcW w:w="0" w:type="auto"/>
            <w:vMerge w:val="restart"/>
            <w:tcBorders>
              <w:top w:val="single" w:color="auto" w:sz="4" w:space="0"/>
              <w:left w:val="single" w:color="auto" w:sz="4" w:space="0"/>
              <w:right w:val="single" w:color="auto" w:sz="4" w:space="0"/>
            </w:tcBorders>
          </w:tcPr>
          <w:p w:rsidRPr="001A2373" w:rsidR="00EF166B" w:rsidP="00D4103F" w:rsidRDefault="00EF166B" w14:paraId="39C2E7E0" w14:textId="77777777">
            <w:pPr>
              <w:spacing w:line="276" w:lineRule="auto"/>
              <w:ind w:right="22"/>
              <w:rPr>
                <w:rFonts w:cstheme="minorHAnsi"/>
                <w:bCs/>
                <w:sz w:val="18"/>
                <w:szCs w:val="18"/>
              </w:rPr>
            </w:pPr>
            <w:r w:rsidRPr="001A2373">
              <w:rPr>
                <w:rFonts w:cstheme="minorHAnsi"/>
                <w:bCs/>
                <w:sz w:val="18"/>
                <w:szCs w:val="18"/>
              </w:rPr>
              <w:t>30</w:t>
            </w:r>
          </w:p>
        </w:tc>
        <w:tc>
          <w:tcPr>
            <w:tcW w:w="0" w:type="auto"/>
            <w:vMerge w:val="restart"/>
            <w:tcBorders>
              <w:top w:val="single" w:color="auto" w:sz="4" w:space="0"/>
              <w:left w:val="single" w:color="auto" w:sz="4" w:space="0"/>
              <w:right w:val="single" w:color="auto" w:sz="4" w:space="0"/>
            </w:tcBorders>
          </w:tcPr>
          <w:p w:rsidRPr="001A2373" w:rsidR="00EF166B" w:rsidP="00D4103F" w:rsidRDefault="00EF166B" w14:paraId="05465B9D" w14:textId="077544D0">
            <w:pPr>
              <w:spacing w:line="276" w:lineRule="auto"/>
              <w:ind w:right="22"/>
              <w:rPr>
                <w:rFonts w:cstheme="minorHAnsi"/>
                <w:bCs/>
                <w:sz w:val="18"/>
                <w:szCs w:val="18"/>
              </w:rPr>
            </w:pPr>
            <w:r w:rsidRPr="001A2373">
              <w:rPr>
                <w:rFonts w:cstheme="minorHAnsi"/>
                <w:bCs/>
                <w:sz w:val="18"/>
                <w:szCs w:val="18"/>
              </w:rPr>
              <w:t>6</w:t>
            </w:r>
          </w:p>
        </w:tc>
        <w:tc>
          <w:tcPr>
            <w:tcW w:w="0" w:type="auto"/>
            <w:vMerge w:val="restart"/>
            <w:tcBorders>
              <w:top w:val="single" w:color="auto" w:sz="4" w:space="0"/>
              <w:left w:val="single" w:color="auto" w:sz="4" w:space="0"/>
              <w:right w:val="single" w:color="auto" w:sz="4" w:space="0"/>
            </w:tcBorders>
          </w:tcPr>
          <w:p w:rsidRPr="001A2373" w:rsidR="00EF166B" w:rsidP="00D4103F" w:rsidRDefault="00EF166B" w14:paraId="77354456" w14:textId="77777777">
            <w:pPr>
              <w:spacing w:line="276" w:lineRule="auto"/>
              <w:ind w:right="22"/>
              <w:rPr>
                <w:rFonts w:cstheme="minorHAnsi"/>
                <w:bCs/>
                <w:sz w:val="18"/>
                <w:szCs w:val="18"/>
              </w:rPr>
            </w:pPr>
            <w:r w:rsidRPr="001A2373">
              <w:rPr>
                <w:rFonts w:cstheme="minorHAnsi"/>
                <w:bCs/>
                <w:sz w:val="18"/>
                <w:szCs w:val="18"/>
              </w:rPr>
              <w:t>C</w:t>
            </w:r>
          </w:p>
        </w:tc>
        <w:tc>
          <w:tcPr>
            <w:tcW w:w="0" w:type="auto"/>
            <w:tcBorders>
              <w:top w:val="single" w:color="auto" w:sz="4" w:space="0"/>
              <w:left w:val="single" w:color="auto" w:sz="4" w:space="0"/>
              <w:bottom w:val="single" w:color="auto" w:sz="4" w:space="0"/>
              <w:right w:val="single" w:color="auto" w:sz="4" w:space="0"/>
            </w:tcBorders>
          </w:tcPr>
          <w:p w:rsidRPr="001A2373" w:rsidR="00EF166B" w:rsidP="00D4103F" w:rsidRDefault="001A2373" w14:paraId="518BA12F" w14:textId="5535BB11">
            <w:pPr>
              <w:spacing w:line="276" w:lineRule="auto"/>
              <w:ind w:right="22"/>
              <w:rPr>
                <w:rFonts w:cstheme="minorHAnsi"/>
                <w:bCs/>
                <w:sz w:val="18"/>
                <w:szCs w:val="18"/>
              </w:rPr>
            </w:pPr>
            <w:r w:rsidRPr="001A2373">
              <w:rPr>
                <w:rFonts w:cstheme="minorHAnsi"/>
                <w:bCs/>
                <w:sz w:val="18"/>
                <w:szCs w:val="18"/>
              </w:rPr>
              <w:t>Critical Evaluative Report (3,000 words)</w:t>
            </w:r>
          </w:p>
        </w:tc>
        <w:tc>
          <w:tcPr>
            <w:tcW w:w="0" w:type="auto"/>
            <w:tcBorders>
              <w:top w:val="single" w:color="auto" w:sz="4" w:space="0"/>
              <w:left w:val="single" w:color="auto" w:sz="4" w:space="0"/>
              <w:bottom w:val="single" w:color="auto" w:sz="4" w:space="0"/>
              <w:right w:val="single" w:color="auto" w:sz="4" w:space="0"/>
            </w:tcBorders>
          </w:tcPr>
          <w:p w:rsidRPr="001A2373" w:rsidR="00EF166B" w:rsidP="00D4103F" w:rsidRDefault="00EF166B" w14:paraId="74B37158" w14:textId="6EEA8BE8">
            <w:pPr>
              <w:spacing w:line="276" w:lineRule="auto"/>
              <w:ind w:right="22"/>
              <w:rPr>
                <w:rFonts w:cstheme="minorHAnsi"/>
                <w:bCs/>
                <w:sz w:val="18"/>
                <w:szCs w:val="18"/>
              </w:rPr>
            </w:pPr>
            <w:r w:rsidRPr="001A2373">
              <w:rPr>
                <w:rFonts w:cstheme="minorHAnsi"/>
                <w:bCs/>
                <w:sz w:val="18"/>
                <w:szCs w:val="18"/>
              </w:rPr>
              <w:t>1-5</w:t>
            </w:r>
          </w:p>
        </w:tc>
        <w:tc>
          <w:tcPr>
            <w:tcW w:w="0" w:type="auto"/>
            <w:tcBorders>
              <w:top w:val="single" w:color="auto" w:sz="4" w:space="0"/>
              <w:left w:val="single" w:color="auto" w:sz="4" w:space="0"/>
              <w:bottom w:val="single" w:color="auto" w:sz="4" w:space="0"/>
              <w:right w:val="single" w:color="auto" w:sz="4" w:space="0"/>
            </w:tcBorders>
          </w:tcPr>
          <w:p w:rsidRPr="001A2373" w:rsidR="00EF166B" w:rsidP="00D4103F" w:rsidRDefault="00EF166B" w14:paraId="2310450A" w14:textId="77777777">
            <w:pPr>
              <w:spacing w:line="276" w:lineRule="auto"/>
              <w:ind w:right="22"/>
              <w:rPr>
                <w:rFonts w:cstheme="minorHAnsi"/>
                <w:bCs/>
                <w:sz w:val="18"/>
                <w:szCs w:val="18"/>
              </w:rPr>
            </w:pPr>
            <w:r w:rsidRPr="001A2373">
              <w:rPr>
                <w:rFonts w:cstheme="minorHAnsi"/>
                <w:bCs/>
                <w:sz w:val="18"/>
                <w:szCs w:val="18"/>
              </w:rPr>
              <w:t>60</w:t>
            </w:r>
          </w:p>
        </w:tc>
        <w:tc>
          <w:tcPr>
            <w:tcW w:w="0" w:type="auto"/>
            <w:vMerge w:val="restart"/>
            <w:tcBorders>
              <w:top w:val="single" w:color="auto" w:sz="4" w:space="0"/>
              <w:left w:val="single" w:color="auto" w:sz="4" w:space="0"/>
              <w:right w:val="single" w:color="auto" w:sz="4" w:space="0"/>
            </w:tcBorders>
          </w:tcPr>
          <w:p w:rsidRPr="001A2373" w:rsidR="00EF166B" w:rsidP="00D4103F" w:rsidRDefault="00EF166B" w14:paraId="42356514" w14:textId="4241255E">
            <w:pPr>
              <w:spacing w:line="276" w:lineRule="auto"/>
              <w:ind w:right="22"/>
              <w:rPr>
                <w:rFonts w:cstheme="minorHAnsi"/>
                <w:bCs/>
                <w:sz w:val="18"/>
                <w:szCs w:val="18"/>
              </w:rPr>
            </w:pPr>
            <w:r w:rsidRPr="001A2373">
              <w:rPr>
                <w:rFonts w:cstheme="minorHAnsi"/>
                <w:bCs/>
                <w:sz w:val="18"/>
                <w:szCs w:val="18"/>
              </w:rPr>
              <w:t>S1</w:t>
            </w:r>
          </w:p>
        </w:tc>
        <w:tc>
          <w:tcPr>
            <w:tcW w:w="0" w:type="auto"/>
            <w:vMerge w:val="restart"/>
            <w:tcBorders>
              <w:top w:val="single" w:color="auto" w:sz="4" w:space="0"/>
              <w:left w:val="single" w:color="auto" w:sz="4" w:space="0"/>
              <w:right w:val="single" w:color="auto" w:sz="4" w:space="0"/>
            </w:tcBorders>
          </w:tcPr>
          <w:p w:rsidRPr="001A2373" w:rsidR="00EF166B" w:rsidP="00D4103F" w:rsidRDefault="00EF166B" w14:paraId="15737EF1" w14:textId="77777777">
            <w:pPr>
              <w:pStyle w:val="HTMLPreformatted"/>
              <w:spacing w:line="276" w:lineRule="auto"/>
              <w:rPr>
                <w:rFonts w:asciiTheme="minorHAnsi" w:hAnsiTheme="minorHAnsi" w:cstheme="minorHAnsi"/>
                <w:bCs/>
                <w:sz w:val="18"/>
                <w:szCs w:val="18"/>
                <w:lang w:val="en-GB" w:eastAsia="en-US"/>
              </w:rPr>
            </w:pPr>
            <w:r w:rsidRPr="001A2373">
              <w:rPr>
                <w:rFonts w:asciiTheme="minorHAnsi" w:hAnsiTheme="minorHAnsi" w:cstheme="minorHAnsi"/>
                <w:bCs/>
                <w:sz w:val="18"/>
                <w:szCs w:val="18"/>
                <w:lang w:val="en-GB" w:eastAsia="en-US"/>
              </w:rPr>
              <w:t xml:space="preserve">Each assessment element must be passed separately to </w:t>
            </w:r>
            <w:r w:rsidRPr="001A2373">
              <w:rPr>
                <w:rFonts w:asciiTheme="minorHAnsi" w:hAnsiTheme="minorHAnsi" w:cstheme="minorHAnsi"/>
                <w:bCs/>
                <w:sz w:val="18"/>
                <w:szCs w:val="18"/>
                <w:lang w:val="en-GB" w:eastAsia="en-US"/>
              </w:rPr>
              <w:lastRenderedPageBreak/>
              <w:t>achieve a pass for the module</w:t>
            </w:r>
          </w:p>
        </w:tc>
      </w:tr>
      <w:tr w:rsidRPr="0091154C" w:rsidR="00EF166B" w:rsidTr="00BF2972" w14:paraId="689AD0CC" w14:textId="77777777">
        <w:tc>
          <w:tcPr>
            <w:tcW w:w="0" w:type="auto"/>
            <w:vMerge/>
            <w:tcBorders>
              <w:left w:val="single" w:color="auto" w:sz="4" w:space="0"/>
              <w:right w:val="single" w:color="auto" w:sz="4" w:space="0"/>
            </w:tcBorders>
          </w:tcPr>
          <w:p w:rsidR="00EF166B" w:rsidP="00D4103F" w:rsidRDefault="00EF166B" w14:paraId="5A46A2AF" w14:textId="77777777">
            <w:pPr>
              <w:spacing w:line="276" w:lineRule="auto"/>
              <w:rPr>
                <w:rFonts w:ascii="Franklin Gothic Book" w:hAnsi="Franklin Gothic Book" w:eastAsia="Calibri" w:cs="Arial"/>
                <w:b/>
                <w:sz w:val="18"/>
                <w:szCs w:val="18"/>
              </w:rPr>
            </w:pPr>
          </w:p>
        </w:tc>
        <w:tc>
          <w:tcPr>
            <w:tcW w:w="0" w:type="auto"/>
            <w:vMerge/>
            <w:tcBorders>
              <w:left w:val="single" w:color="auto" w:sz="4" w:space="0"/>
              <w:right w:val="single" w:color="auto" w:sz="4" w:space="0"/>
            </w:tcBorders>
          </w:tcPr>
          <w:p w:rsidR="00EF166B" w:rsidP="00D4103F" w:rsidRDefault="00EF166B" w14:paraId="62DBE71E" w14:textId="77777777">
            <w:pPr>
              <w:spacing w:line="276" w:lineRule="auto"/>
              <w:ind w:right="22"/>
              <w:rPr>
                <w:rFonts w:ascii="Franklin Gothic Book" w:hAnsi="Franklin Gothic Book" w:cs="Arial"/>
                <w:sz w:val="18"/>
                <w:szCs w:val="18"/>
              </w:rPr>
            </w:pPr>
          </w:p>
        </w:tc>
        <w:tc>
          <w:tcPr>
            <w:tcW w:w="0" w:type="auto"/>
            <w:vMerge/>
            <w:tcBorders>
              <w:left w:val="single" w:color="auto" w:sz="4" w:space="0"/>
              <w:right w:val="single" w:color="auto" w:sz="4" w:space="0"/>
            </w:tcBorders>
          </w:tcPr>
          <w:p w:rsidR="00EF166B" w:rsidP="00D4103F" w:rsidRDefault="00EF166B" w14:paraId="293E580B" w14:textId="77777777">
            <w:pPr>
              <w:spacing w:line="276" w:lineRule="auto"/>
              <w:ind w:right="22"/>
              <w:rPr>
                <w:rFonts w:ascii="Franklin Gothic Book" w:hAnsi="Franklin Gothic Book" w:cs="Arial"/>
                <w:sz w:val="18"/>
                <w:szCs w:val="18"/>
              </w:rPr>
            </w:pPr>
          </w:p>
        </w:tc>
        <w:tc>
          <w:tcPr>
            <w:tcW w:w="0" w:type="auto"/>
            <w:vMerge/>
            <w:tcBorders>
              <w:left w:val="single" w:color="auto" w:sz="4" w:space="0"/>
              <w:right w:val="single" w:color="auto" w:sz="4" w:space="0"/>
            </w:tcBorders>
          </w:tcPr>
          <w:p w:rsidR="00EF166B" w:rsidP="00D4103F" w:rsidRDefault="00EF166B" w14:paraId="57C47849" w14:textId="77777777">
            <w:pPr>
              <w:spacing w:line="276" w:lineRule="auto"/>
              <w:ind w:right="22"/>
              <w:rPr>
                <w:rFonts w:ascii="Franklin Gothic Book" w:hAnsi="Franklin Gothic Book" w:cs="Arial"/>
                <w:sz w:val="18"/>
                <w:szCs w:val="18"/>
              </w:rPr>
            </w:pPr>
          </w:p>
        </w:tc>
        <w:tc>
          <w:tcPr>
            <w:tcW w:w="0" w:type="auto"/>
            <w:tcBorders>
              <w:top w:val="single" w:color="auto" w:sz="4" w:space="0"/>
              <w:left w:val="single" w:color="auto" w:sz="4" w:space="0"/>
              <w:bottom w:val="single" w:color="auto" w:sz="4" w:space="0"/>
              <w:right w:val="single" w:color="auto" w:sz="4" w:space="0"/>
            </w:tcBorders>
          </w:tcPr>
          <w:p w:rsidRPr="001A2373" w:rsidR="00EF166B" w:rsidP="00D4103F" w:rsidRDefault="001A2373" w14:paraId="27475DA4" w14:textId="3FBB6029">
            <w:pPr>
              <w:spacing w:line="276" w:lineRule="auto"/>
              <w:ind w:right="22"/>
              <w:rPr>
                <w:rFonts w:cstheme="minorHAnsi"/>
                <w:sz w:val="18"/>
                <w:szCs w:val="18"/>
              </w:rPr>
            </w:pPr>
            <w:r w:rsidRPr="001A2373">
              <w:rPr>
                <w:rFonts w:cstheme="minorHAnsi"/>
                <w:sz w:val="18"/>
                <w:szCs w:val="18"/>
              </w:rPr>
              <w:t>Presentation (20 minute)</w:t>
            </w:r>
          </w:p>
        </w:tc>
        <w:tc>
          <w:tcPr>
            <w:tcW w:w="0" w:type="auto"/>
            <w:tcBorders>
              <w:top w:val="single" w:color="auto" w:sz="4" w:space="0"/>
              <w:left w:val="single" w:color="auto" w:sz="4" w:space="0"/>
              <w:bottom w:val="single" w:color="auto" w:sz="4" w:space="0"/>
              <w:right w:val="single" w:color="auto" w:sz="4" w:space="0"/>
            </w:tcBorders>
          </w:tcPr>
          <w:p w:rsidRPr="001A2373" w:rsidR="00EF166B" w:rsidP="00D4103F" w:rsidRDefault="00EF166B" w14:paraId="77E01D3D" w14:textId="154D7313">
            <w:pPr>
              <w:spacing w:line="276" w:lineRule="auto"/>
              <w:ind w:right="22"/>
              <w:rPr>
                <w:rFonts w:cstheme="minorHAnsi"/>
                <w:bCs/>
                <w:sz w:val="18"/>
                <w:szCs w:val="18"/>
              </w:rPr>
            </w:pPr>
            <w:r w:rsidRPr="001A2373">
              <w:rPr>
                <w:rFonts w:cstheme="minorHAnsi"/>
                <w:bCs/>
                <w:sz w:val="18"/>
                <w:szCs w:val="18"/>
              </w:rPr>
              <w:t>6-7</w:t>
            </w:r>
          </w:p>
        </w:tc>
        <w:tc>
          <w:tcPr>
            <w:tcW w:w="0" w:type="auto"/>
            <w:tcBorders>
              <w:top w:val="single" w:color="auto" w:sz="4" w:space="0"/>
              <w:left w:val="single" w:color="auto" w:sz="4" w:space="0"/>
              <w:bottom w:val="single" w:color="auto" w:sz="4" w:space="0"/>
              <w:right w:val="single" w:color="auto" w:sz="4" w:space="0"/>
            </w:tcBorders>
          </w:tcPr>
          <w:p w:rsidRPr="001A2373" w:rsidR="00EF166B" w:rsidP="00D4103F" w:rsidRDefault="00EF166B" w14:paraId="6BCEA3FE" w14:textId="72650BBC">
            <w:pPr>
              <w:spacing w:line="276" w:lineRule="auto"/>
              <w:ind w:right="22"/>
              <w:rPr>
                <w:rFonts w:cstheme="minorHAnsi"/>
                <w:bCs/>
                <w:sz w:val="18"/>
                <w:szCs w:val="18"/>
              </w:rPr>
            </w:pPr>
            <w:r w:rsidRPr="001A2373">
              <w:rPr>
                <w:rFonts w:cstheme="minorHAnsi"/>
                <w:bCs/>
                <w:sz w:val="18"/>
                <w:szCs w:val="18"/>
              </w:rPr>
              <w:t>40</w:t>
            </w:r>
          </w:p>
        </w:tc>
        <w:tc>
          <w:tcPr>
            <w:tcW w:w="0" w:type="auto"/>
            <w:vMerge/>
            <w:tcBorders>
              <w:left w:val="single" w:color="auto" w:sz="4" w:space="0"/>
              <w:right w:val="single" w:color="auto" w:sz="4" w:space="0"/>
            </w:tcBorders>
          </w:tcPr>
          <w:p w:rsidR="00EF166B" w:rsidP="00D4103F" w:rsidRDefault="00EF166B" w14:paraId="71764AC5" w14:textId="77777777">
            <w:pPr>
              <w:spacing w:line="276" w:lineRule="auto"/>
              <w:ind w:right="22"/>
              <w:rPr>
                <w:rFonts w:ascii="Franklin Gothic Book" w:hAnsi="Franklin Gothic Book" w:cs="Arial"/>
                <w:sz w:val="18"/>
                <w:szCs w:val="18"/>
              </w:rPr>
            </w:pPr>
          </w:p>
        </w:tc>
        <w:tc>
          <w:tcPr>
            <w:tcW w:w="0" w:type="auto"/>
            <w:vMerge/>
            <w:tcBorders>
              <w:left w:val="single" w:color="auto" w:sz="4" w:space="0"/>
              <w:right w:val="single" w:color="auto" w:sz="4" w:space="0"/>
            </w:tcBorders>
          </w:tcPr>
          <w:p w:rsidR="00EF166B" w:rsidP="00D4103F" w:rsidRDefault="00EF166B" w14:paraId="621F5F60" w14:textId="77777777">
            <w:pPr>
              <w:pStyle w:val="HTMLPreformatted"/>
              <w:spacing w:line="276" w:lineRule="auto"/>
              <w:rPr>
                <w:rFonts w:ascii="Franklin Gothic Book" w:hAnsi="Franklin Gothic Book" w:cs="Arial"/>
                <w:sz w:val="18"/>
                <w:szCs w:val="18"/>
                <w:lang w:val="en-GB" w:eastAsia="en-US"/>
              </w:rPr>
            </w:pPr>
          </w:p>
        </w:tc>
      </w:tr>
    </w:tbl>
    <w:p w:rsidR="00280F34" w:rsidP="00280F34" w:rsidRDefault="00280F34" w14:paraId="07133C8E" w14:textId="77777777">
      <w:pPr>
        <w:pStyle w:val="ListParagraph"/>
        <w:ind w:left="360"/>
      </w:pPr>
    </w:p>
    <w:p w:rsidR="00AB6B2B" w:rsidP="00AB6B2B" w:rsidRDefault="00AB6B2B" w14:paraId="003A47C5" w14:textId="77777777">
      <w:pPr>
        <w:pStyle w:val="ListParagraph"/>
        <w:ind w:left="360"/>
      </w:pPr>
    </w:p>
    <w:p w:rsidRPr="001A2373" w:rsidR="00AB6B2B" w:rsidP="00280F34" w:rsidRDefault="006A7113" w14:paraId="2E106DBA" w14:textId="2F869D51">
      <w:pPr>
        <w:pStyle w:val="ListParagraph"/>
        <w:numPr>
          <w:ilvl w:val="0"/>
          <w:numId w:val="12"/>
        </w:numPr>
      </w:pPr>
      <w:r w:rsidRPr="001A2373">
        <w:t xml:space="preserve">The nature of the assessment for a module will be determined by the purpose of the module and its intended learning outcomes.  In </w:t>
      </w:r>
      <w:r w:rsidRPr="001A2373" w:rsidR="00AB6B2B">
        <w:t>specifying</w:t>
      </w:r>
      <w:r w:rsidRPr="001A2373">
        <w:t xml:space="preserve"> module assessments, programme teams will need to be mindful of </w:t>
      </w:r>
      <w:r w:rsidRPr="001A2373" w:rsidR="008361B2">
        <w:t xml:space="preserve">the </w:t>
      </w:r>
      <w:r w:rsidRPr="001A2373">
        <w:t xml:space="preserve">position of the </w:t>
      </w:r>
      <w:r w:rsidRPr="001A2373" w:rsidR="00A2001E">
        <w:t>module</w:t>
      </w:r>
      <w:r w:rsidRPr="001A2373">
        <w:t xml:space="preserve"> within the programme and </w:t>
      </w:r>
      <w:r w:rsidR="0011261B">
        <w:t xml:space="preserve">of </w:t>
      </w:r>
      <w:r w:rsidRPr="001A2373">
        <w:t xml:space="preserve">the other modules that students will be taking </w:t>
      </w:r>
      <w:r w:rsidRPr="001A2373" w:rsidR="00AB6B2B">
        <w:t>at the same level or year</w:t>
      </w:r>
      <w:r w:rsidRPr="001A2373">
        <w:t xml:space="preserve">. </w:t>
      </w:r>
      <w:r w:rsidRPr="001A2373" w:rsidR="00A2001E">
        <w:t xml:space="preserve"> </w:t>
      </w:r>
      <w:r w:rsidRPr="001A2373" w:rsidR="001D3771">
        <w:t xml:space="preserve">Programme teams will need to take </w:t>
      </w:r>
      <w:r w:rsidR="005803F1">
        <w:t xml:space="preserve">a </w:t>
      </w:r>
      <w:r w:rsidRPr="001A2373" w:rsidR="006E7CE5">
        <w:t>programme</w:t>
      </w:r>
      <w:r w:rsidR="006E7CE5">
        <w:t>-</w:t>
      </w:r>
      <w:r w:rsidRPr="001A2373" w:rsidR="001D3771">
        <w:t>level view on module assessments to avoid the over-emphasis on exams or other assessment types.</w:t>
      </w:r>
      <w:r w:rsidRPr="001A2373" w:rsidR="00AB6B2B">
        <w:t xml:space="preserve"> </w:t>
      </w:r>
    </w:p>
    <w:p w:rsidRPr="00AB6B2B" w:rsidR="00AB6B2B" w:rsidP="00AB6B2B" w:rsidRDefault="00AB6B2B" w14:paraId="6C2EDDB7" w14:textId="77777777">
      <w:pPr>
        <w:pStyle w:val="ListParagraph"/>
        <w:ind w:left="360"/>
      </w:pPr>
    </w:p>
    <w:p w:rsidRPr="00AB6B2B" w:rsidR="00930C59" w:rsidP="00AB6B2B" w:rsidRDefault="0039224D" w14:paraId="1E91F8B8" w14:textId="4CEBED12">
      <w:pPr>
        <w:pStyle w:val="ListParagraph"/>
        <w:numPr>
          <w:ilvl w:val="0"/>
          <w:numId w:val="12"/>
        </w:numPr>
      </w:pPr>
      <w:r w:rsidRPr="00AB6B2B">
        <w:t xml:space="preserve">The way in which clinical or practice-based modules (or modules that include </w:t>
      </w:r>
      <w:r w:rsidR="00F0099B">
        <w:t xml:space="preserve">practice-based </w:t>
      </w:r>
      <w:r w:rsidRPr="00AB6B2B">
        <w:t xml:space="preserve">learning) are assessed will depend on the learning outcomes for the module. It may be the case that more than one assessment </w:t>
      </w:r>
      <w:r w:rsidR="00280F34">
        <w:t xml:space="preserve">element </w:t>
      </w:r>
      <w:r w:rsidRPr="00AB6B2B">
        <w:t xml:space="preserve">is needed to reliably assess the learning outcomes for modules of this kind. </w:t>
      </w:r>
    </w:p>
    <w:p w:rsidR="00206FEC" w:rsidP="00206FEC" w:rsidRDefault="00206FEC" w14:paraId="79CFBD56" w14:textId="77777777">
      <w:pPr>
        <w:pStyle w:val="ListParagraph"/>
      </w:pPr>
    </w:p>
    <w:p w:rsidR="00206FEC" w:rsidP="00930C59" w:rsidRDefault="00206FEC" w14:paraId="05AA857D" w14:textId="01E84CF4">
      <w:pPr>
        <w:pStyle w:val="ListParagraph"/>
        <w:numPr>
          <w:ilvl w:val="0"/>
          <w:numId w:val="12"/>
        </w:numPr>
      </w:pPr>
      <w:r>
        <w:t xml:space="preserve">Assessments will normally take place in the semester in which the module is delivered. </w:t>
      </w:r>
    </w:p>
    <w:p w:rsidRPr="003E3F90" w:rsidR="00930C59" w:rsidP="00930C59" w:rsidRDefault="00930C59" w14:paraId="238774A1" w14:textId="77777777">
      <w:pPr>
        <w:pStyle w:val="ListParagraph"/>
        <w:ind w:left="360"/>
      </w:pPr>
    </w:p>
    <w:p w:rsidR="00814069" w:rsidP="00814069" w:rsidRDefault="0039224D" w14:paraId="48BDB12D" w14:textId="1807CD39">
      <w:pPr>
        <w:pStyle w:val="ListParagraph"/>
        <w:numPr>
          <w:ilvl w:val="0"/>
          <w:numId w:val="12"/>
        </w:numPr>
      </w:pPr>
      <w:r w:rsidRPr="003E3F90">
        <w:t xml:space="preserve">All modules will include formative assessment. </w:t>
      </w:r>
      <w:r w:rsidR="00DE0014">
        <w:t>Formative assessment has a developmental purpose, designed to help learners learn more effectively by giving them feedback on their performance and how it can be improved and/or maintained</w:t>
      </w:r>
      <w:r w:rsidR="003F32FF">
        <w:t xml:space="preserve"> prior to the summative assessment</w:t>
      </w:r>
      <w:r w:rsidR="00DE0014">
        <w:t xml:space="preserve">. </w:t>
      </w:r>
    </w:p>
    <w:p w:rsidRPr="003E3F90" w:rsidR="00814069" w:rsidP="00814069" w:rsidRDefault="00814069" w14:paraId="146383A3" w14:textId="77777777">
      <w:pPr>
        <w:pStyle w:val="ListParagraph"/>
        <w:ind w:left="360"/>
      </w:pPr>
    </w:p>
    <w:p w:rsidR="00814069" w:rsidP="00814069" w:rsidRDefault="0039224D" w14:paraId="31963D7C" w14:textId="1CE31900">
      <w:pPr>
        <w:pStyle w:val="ListParagraph"/>
        <w:numPr>
          <w:ilvl w:val="0"/>
          <w:numId w:val="12"/>
        </w:numPr>
      </w:pPr>
      <w:r w:rsidRPr="003E3F90">
        <w:t xml:space="preserve">Zero credit modules are proscribed because i) this implies either the award of credit is not linked to student effort or ii) the total amount of student effort required for an award will exceed the credit requirements set out in the Quality Manual. </w:t>
      </w:r>
    </w:p>
    <w:p w:rsidRPr="003E3F90" w:rsidR="00814069" w:rsidP="00814069" w:rsidRDefault="00814069" w14:paraId="32DF0A2D" w14:textId="77777777">
      <w:pPr>
        <w:pStyle w:val="ListParagraph"/>
        <w:ind w:left="360"/>
      </w:pPr>
    </w:p>
    <w:p w:rsidR="00814069" w:rsidP="00814069" w:rsidRDefault="0039224D" w14:paraId="7DD612CB" w14:textId="35EC2BA0">
      <w:pPr>
        <w:pStyle w:val="ListParagraph"/>
        <w:numPr>
          <w:ilvl w:val="0"/>
          <w:numId w:val="12"/>
        </w:numPr>
      </w:pPr>
      <w:r w:rsidRPr="003E3F90">
        <w:t>Time spent by students undertaking clinical or practice learning must be contained</w:t>
      </w:r>
      <w:r w:rsidR="00DE0014">
        <w:t xml:space="preserve"> within </w:t>
      </w:r>
      <w:r w:rsidRPr="003E3F90">
        <w:t>a module and be given a credit allocation. For learning of this kind, the credit allocation may not reflect the numbers of hours spent by the student in the module.</w:t>
      </w:r>
    </w:p>
    <w:p w:rsidRPr="003E3F90" w:rsidR="00814069" w:rsidP="00814069" w:rsidRDefault="00814069" w14:paraId="03F58AAF" w14:textId="77777777">
      <w:pPr>
        <w:pStyle w:val="ListParagraph"/>
        <w:ind w:left="360"/>
      </w:pPr>
    </w:p>
    <w:p w:rsidR="008A502D" w:rsidP="0016369D" w:rsidRDefault="0039224D" w14:paraId="3533E8D8" w14:textId="5A98BBE9">
      <w:pPr>
        <w:pStyle w:val="ListParagraph"/>
        <w:numPr>
          <w:ilvl w:val="0"/>
          <w:numId w:val="12"/>
        </w:numPr>
      </w:pPr>
      <w:r w:rsidRPr="003E3F90">
        <w:t xml:space="preserve">Assessment </w:t>
      </w:r>
      <w:r w:rsidR="00280F34">
        <w:t xml:space="preserve">elements </w:t>
      </w:r>
      <w:r w:rsidRPr="003E3F90">
        <w:t xml:space="preserve">will usually be given a mark out of 100.  Assessment </w:t>
      </w:r>
      <w:r w:rsidR="00280F34">
        <w:t xml:space="preserve">elements </w:t>
      </w:r>
      <w:r w:rsidRPr="003E3F90">
        <w:t>may be marked differently (</w:t>
      </w:r>
      <w:proofErr w:type="spellStart"/>
      <w:r w:rsidRPr="003E3F90">
        <w:t>eg</w:t>
      </w:r>
      <w:proofErr w:type="spellEnd"/>
      <w:r w:rsidRPr="003E3F90">
        <w:t xml:space="preserve"> on a pass/fail basis) if there is an educational rationale. </w:t>
      </w:r>
    </w:p>
    <w:p w:rsidR="0016369D" w:rsidP="0016369D" w:rsidRDefault="0016369D" w14:paraId="39736EF5" w14:textId="0664B617">
      <w:pPr>
        <w:rPr>
          <w:b/>
          <w:bCs/>
        </w:rPr>
      </w:pPr>
      <w:r w:rsidRPr="0016369D">
        <w:rPr>
          <w:b/>
          <w:bCs/>
        </w:rPr>
        <w:t>Pass marks</w:t>
      </w:r>
    </w:p>
    <w:p w:rsidRPr="0016369D" w:rsidR="0016369D" w:rsidP="0016369D" w:rsidRDefault="0016369D" w14:paraId="41FE95B9" w14:textId="22DE84AE">
      <w:pPr>
        <w:pStyle w:val="ListParagraph"/>
        <w:numPr>
          <w:ilvl w:val="0"/>
          <w:numId w:val="12"/>
        </w:numPr>
      </w:pPr>
      <w:r w:rsidRPr="0016369D">
        <w:t xml:space="preserve">The pass mark for a module offered at levels 4, 5 and 6 is 40%. </w:t>
      </w:r>
    </w:p>
    <w:p w:rsidRPr="0016369D" w:rsidR="0016369D" w:rsidP="0016369D" w:rsidRDefault="0016369D" w14:paraId="2BC6BFE9" w14:textId="77777777">
      <w:pPr>
        <w:pStyle w:val="ListParagraph"/>
        <w:ind w:left="360"/>
      </w:pPr>
    </w:p>
    <w:p w:rsidRPr="0016369D" w:rsidR="0016369D" w:rsidP="0016369D" w:rsidRDefault="0016369D" w14:paraId="5861F2DC" w14:textId="62E6692C">
      <w:pPr>
        <w:pStyle w:val="ListParagraph"/>
        <w:numPr>
          <w:ilvl w:val="0"/>
          <w:numId w:val="12"/>
        </w:numPr>
      </w:pPr>
      <w:r w:rsidRPr="0016369D">
        <w:t xml:space="preserve">The pass mark for a module offered at level 7 or 8 is 50%.  </w:t>
      </w:r>
    </w:p>
    <w:p w:rsidRPr="00F0099B" w:rsidR="008A502D" w:rsidP="008A502D" w:rsidRDefault="008A502D" w14:paraId="35BD2B53" w14:textId="2FCAE438">
      <w:pPr>
        <w:rPr>
          <w:b/>
          <w:bCs/>
        </w:rPr>
      </w:pPr>
      <w:r w:rsidRPr="00F0099B">
        <w:rPr>
          <w:b/>
          <w:bCs/>
        </w:rPr>
        <w:t>Minimum element marks</w:t>
      </w:r>
    </w:p>
    <w:p w:rsidRPr="004874A2" w:rsidR="00F0099B" w:rsidP="00F0099B" w:rsidRDefault="00F0099B" w14:paraId="10DEA906" w14:textId="364C647E">
      <w:pPr>
        <w:pStyle w:val="ListParagraph"/>
        <w:numPr>
          <w:ilvl w:val="0"/>
          <w:numId w:val="12"/>
        </w:numPr>
      </w:pPr>
      <w:r w:rsidRPr="00F0099B">
        <w:t xml:space="preserve">For modules </w:t>
      </w:r>
      <w:r w:rsidR="00FC1CE1">
        <w:t xml:space="preserve">at levels 4, 5 and 6 </w:t>
      </w:r>
      <w:r w:rsidRPr="00F0099B">
        <w:t xml:space="preserve">that include more than one assessment element, a student will pass the module if they </w:t>
      </w:r>
      <w:r w:rsidRPr="004874A2">
        <w:t xml:space="preserve">achieve a weighted average of 40% or above across all assessments. If a student achieves a marginal fail in one element, that failure may be condoned if marginal failure is permitted in the Scheme of Assessment for the </w:t>
      </w:r>
      <w:r w:rsidRPr="004874A2" w:rsidR="00FC1CE1">
        <w:t xml:space="preserve">programme and </w:t>
      </w:r>
      <w:r w:rsidRPr="004874A2">
        <w:t xml:space="preserve">module.  To be eligible for condonement, the student must achieve a mark of at least 35% in the failed assessment element. </w:t>
      </w:r>
    </w:p>
    <w:p w:rsidRPr="004874A2" w:rsidR="00FC1CE1" w:rsidP="00FC1CE1" w:rsidRDefault="00FC1CE1" w14:paraId="6EA3831D" w14:textId="77777777">
      <w:pPr>
        <w:pStyle w:val="ListParagraph"/>
        <w:ind w:left="360"/>
      </w:pPr>
    </w:p>
    <w:p w:rsidRPr="004874A2" w:rsidR="00FC1CE1" w:rsidP="00FC1CE1" w:rsidRDefault="00FC1CE1" w14:paraId="129664E4" w14:textId="3F85655D">
      <w:pPr>
        <w:pStyle w:val="ListParagraph"/>
        <w:numPr>
          <w:ilvl w:val="0"/>
          <w:numId w:val="12"/>
        </w:numPr>
      </w:pPr>
      <w:r w:rsidRPr="00F0099B">
        <w:lastRenderedPageBreak/>
        <w:t xml:space="preserve">For modules </w:t>
      </w:r>
      <w:r>
        <w:t xml:space="preserve">at level 7 </w:t>
      </w:r>
      <w:r w:rsidRPr="00F0099B">
        <w:t xml:space="preserve">that include more than one assessment element, a student will pass the module if they </w:t>
      </w:r>
      <w:r w:rsidRPr="004874A2">
        <w:t xml:space="preserve">achieve a weighted average of 50% or above across all assessments. If a student achieves a marginal fail in one element, that failure may be condoned if marginal failure is permitted in the Scheme of Assessment for the programme and module.  To be eligible for condonement, the student must achieve a mark of at least 45% in the failed assessment element. </w:t>
      </w:r>
    </w:p>
    <w:p w:rsidRPr="00FC1CE1" w:rsidR="00FC1CE1" w:rsidP="00FC1CE1" w:rsidRDefault="00FC1CE1" w14:paraId="6914BDF4" w14:textId="77777777">
      <w:pPr>
        <w:pStyle w:val="ListParagraph"/>
        <w:rPr>
          <w:b/>
          <w:bCs/>
        </w:rPr>
      </w:pPr>
    </w:p>
    <w:p w:rsidR="00FC1CE1" w:rsidP="00FC1CE1" w:rsidRDefault="00FC1CE1" w14:paraId="57D6DE23" w14:textId="6D771EE0">
      <w:pPr>
        <w:pStyle w:val="ListParagraph"/>
        <w:numPr>
          <w:ilvl w:val="0"/>
          <w:numId w:val="12"/>
        </w:numPr>
      </w:pPr>
      <w:r w:rsidRPr="00FC1CE1">
        <w:t xml:space="preserve">If a marginal failure for an assessment element is condoned, the actual mark will not be changed. </w:t>
      </w:r>
      <w:r w:rsidR="004874A2">
        <w:t xml:space="preserve"> </w:t>
      </w:r>
    </w:p>
    <w:p w:rsidR="004874A2" w:rsidP="004874A2" w:rsidRDefault="004874A2" w14:paraId="428D7CC0" w14:textId="77777777">
      <w:pPr>
        <w:pStyle w:val="ListParagraph"/>
      </w:pPr>
    </w:p>
    <w:p w:rsidRPr="00FC1CE1" w:rsidR="004874A2" w:rsidP="00FC1CE1" w:rsidRDefault="004874A2" w14:paraId="26E1E150" w14:textId="4A1B4538">
      <w:pPr>
        <w:pStyle w:val="ListParagraph"/>
        <w:numPr>
          <w:ilvl w:val="0"/>
          <w:numId w:val="12"/>
        </w:numPr>
      </w:pPr>
      <w:r>
        <w:t xml:space="preserve">There is no limit on the number of occasions on which a student might benefit from condonement, </w:t>
      </w:r>
      <w:r w:rsidR="003F32FF">
        <w:t>notwithstanding</w:t>
      </w:r>
      <w:r>
        <w:t xml:space="preserve"> the provision of </w:t>
      </w:r>
      <w:r w:rsidR="005A7BD1">
        <w:t xml:space="preserve">paragraph 42. </w:t>
      </w:r>
    </w:p>
    <w:p w:rsidRPr="00FC1CE1" w:rsidR="00FC1CE1" w:rsidP="00FC1CE1" w:rsidRDefault="00FC1CE1" w14:paraId="362A5F4A" w14:textId="77777777">
      <w:pPr>
        <w:pStyle w:val="ListParagraph"/>
        <w:ind w:left="360"/>
        <w:rPr>
          <w:b/>
          <w:bCs/>
        </w:rPr>
      </w:pPr>
    </w:p>
    <w:p w:rsidRPr="005A7BD1" w:rsidR="005A7BD1" w:rsidP="005A7BD1" w:rsidRDefault="004874A2" w14:paraId="55A1442C" w14:textId="7BC20274">
      <w:pPr>
        <w:pStyle w:val="ListParagraph"/>
        <w:numPr>
          <w:ilvl w:val="0"/>
          <w:numId w:val="12"/>
        </w:numPr>
        <w:rPr>
          <w:rFonts w:eastAsia="Times New Roman"/>
        </w:rPr>
      </w:pPr>
      <w:r>
        <w:rPr>
          <w:rFonts w:eastAsia="Times New Roman"/>
        </w:rPr>
        <w:t>W</w:t>
      </w:r>
      <w:r w:rsidR="00F0099B">
        <w:rPr>
          <w:rFonts w:eastAsia="Times New Roman"/>
        </w:rPr>
        <w:t xml:space="preserve">here there is a strong educational rationale, the weighted average </w:t>
      </w:r>
      <w:r w:rsidR="00FC1CE1">
        <w:rPr>
          <w:rFonts w:eastAsia="Times New Roman"/>
        </w:rPr>
        <w:t>requirement</w:t>
      </w:r>
      <w:r w:rsidR="00F0099B">
        <w:rPr>
          <w:rFonts w:eastAsia="Times New Roman"/>
        </w:rPr>
        <w:t xml:space="preserve"> will not apply and </w:t>
      </w:r>
      <w:r w:rsidR="00FC1CE1">
        <w:rPr>
          <w:rFonts w:eastAsia="Times New Roman"/>
        </w:rPr>
        <w:t>students will be required to achieve a minimum mark of</w:t>
      </w:r>
      <w:r w:rsidR="00F0099B">
        <w:rPr>
          <w:rFonts w:eastAsia="Times New Roman"/>
        </w:rPr>
        <w:t xml:space="preserve"> 40% (</w:t>
      </w:r>
      <w:r w:rsidR="00FC1CE1">
        <w:rPr>
          <w:rFonts w:eastAsia="Times New Roman"/>
        </w:rPr>
        <w:t xml:space="preserve">at </w:t>
      </w:r>
      <w:r w:rsidR="00F0099B">
        <w:rPr>
          <w:rFonts w:eastAsia="Times New Roman"/>
        </w:rPr>
        <w:t>levels 4, 5 and 6) or 50% (</w:t>
      </w:r>
      <w:r w:rsidR="00FC1CE1">
        <w:rPr>
          <w:rFonts w:eastAsia="Times New Roman"/>
        </w:rPr>
        <w:t xml:space="preserve">at </w:t>
      </w:r>
      <w:r w:rsidR="00F0099B">
        <w:rPr>
          <w:rFonts w:eastAsia="Times New Roman"/>
        </w:rPr>
        <w:t xml:space="preserve">level 7) in </w:t>
      </w:r>
      <w:r w:rsidR="00F0099B">
        <w:rPr>
          <w:rFonts w:eastAsia="Times New Roman"/>
          <w:i/>
          <w:iCs/>
        </w:rPr>
        <w:t>all</w:t>
      </w:r>
      <w:r w:rsidR="00F0099B">
        <w:rPr>
          <w:rFonts w:eastAsia="Times New Roman"/>
        </w:rPr>
        <w:t xml:space="preserve"> assessment</w:t>
      </w:r>
      <w:r w:rsidR="00FC1CE1">
        <w:rPr>
          <w:rFonts w:eastAsia="Times New Roman"/>
        </w:rPr>
        <w:t xml:space="preserve"> element</w:t>
      </w:r>
      <w:r w:rsidR="00F0099B">
        <w:rPr>
          <w:rFonts w:eastAsia="Times New Roman"/>
        </w:rPr>
        <w:t xml:space="preserve">s, </w:t>
      </w:r>
      <w:r w:rsidR="00FC1CE1">
        <w:rPr>
          <w:rFonts w:eastAsia="Times New Roman"/>
        </w:rPr>
        <w:t>to</w:t>
      </w:r>
      <w:r w:rsidR="00F0099B">
        <w:rPr>
          <w:rFonts w:eastAsia="Times New Roman"/>
        </w:rPr>
        <w:t xml:space="preserve"> pass the </w:t>
      </w:r>
      <w:r w:rsidR="00FC1CE1">
        <w:rPr>
          <w:rFonts w:eastAsia="Times New Roman"/>
        </w:rPr>
        <w:t>module.</w:t>
      </w:r>
    </w:p>
    <w:p w:rsidR="005A7BD1" w:rsidP="005A7BD1" w:rsidRDefault="005A7BD1" w14:paraId="2A6AF79B" w14:textId="318076C3">
      <w:pPr>
        <w:rPr>
          <w:b/>
          <w:bCs/>
        </w:rPr>
      </w:pPr>
      <w:r>
        <w:rPr>
          <w:b/>
          <w:bCs/>
        </w:rPr>
        <w:t xml:space="preserve">Assessment </w:t>
      </w:r>
      <w:r w:rsidRPr="005A7BD1">
        <w:rPr>
          <w:b/>
          <w:bCs/>
        </w:rPr>
        <w:t>element</w:t>
      </w:r>
      <w:r>
        <w:rPr>
          <w:b/>
          <w:bCs/>
        </w:rPr>
        <w:t>s – components</w:t>
      </w:r>
    </w:p>
    <w:p w:rsidRPr="00364392" w:rsidR="00303ACA" w:rsidP="00303ACA" w:rsidRDefault="00303ACA" w14:paraId="58EB9AA8" w14:textId="77777777">
      <w:pPr>
        <w:pStyle w:val="ListParagraph"/>
        <w:numPr>
          <w:ilvl w:val="0"/>
          <w:numId w:val="12"/>
        </w:numPr>
      </w:pPr>
      <w:r>
        <w:t xml:space="preserve">An assessment </w:t>
      </w:r>
      <w:r w:rsidRPr="00303ACA">
        <w:rPr>
          <w:rFonts w:eastAsia="Times New Roman"/>
        </w:rPr>
        <w:t>element</w:t>
      </w:r>
      <w:r>
        <w:t xml:space="preserve"> may be made be made up of a</w:t>
      </w:r>
      <w:r w:rsidRPr="00364392">
        <w:t xml:space="preserve"> collection of related, small assessment sub-tasks e.g. a collection of tests or experiments can</w:t>
      </w:r>
      <w:r>
        <w:t xml:space="preserve">, taken together, </w:t>
      </w:r>
      <w:r w:rsidRPr="00364392">
        <w:t xml:space="preserve">form a single </w:t>
      </w:r>
      <w:r>
        <w:t>practical assessment</w:t>
      </w:r>
      <w:r w:rsidRPr="00364392">
        <w:t>.</w:t>
      </w:r>
      <w:r>
        <w:t xml:space="preserve"> These sub-tasks </w:t>
      </w:r>
      <w:r w:rsidRPr="00FF204D">
        <w:rPr>
          <w:b/>
          <w:bCs/>
        </w:rPr>
        <w:t>are assessment components</w:t>
      </w:r>
      <w:r>
        <w:t xml:space="preserve">. Students will not ordinarily be expected to pass all components to pass the element. </w:t>
      </w:r>
    </w:p>
    <w:p w:rsidRPr="00982799" w:rsidR="00372F43" w:rsidP="000E4E2E" w:rsidRDefault="00372F43" w14:paraId="49C66EE1" w14:textId="77777777">
      <w:pPr>
        <w:jc w:val="both"/>
        <w:rPr>
          <w:b/>
          <w:bCs/>
        </w:rPr>
      </w:pPr>
      <w:r w:rsidRPr="00982799">
        <w:rPr>
          <w:b/>
          <w:bCs/>
        </w:rPr>
        <w:t>Placement learning</w:t>
      </w:r>
    </w:p>
    <w:p w:rsidRPr="00982799" w:rsidR="00372F43" w:rsidP="009D75DE" w:rsidRDefault="009D75DE" w14:paraId="63BE1D1D" w14:textId="5ACE5CD2">
      <w:pPr>
        <w:pStyle w:val="ListParagraph"/>
        <w:numPr>
          <w:ilvl w:val="0"/>
          <w:numId w:val="12"/>
        </w:numPr>
        <w:rPr>
          <w:rFonts w:cstheme="minorHAnsi"/>
        </w:rPr>
      </w:pPr>
      <w:r w:rsidRPr="00982799">
        <w:rPr>
          <w:rFonts w:cstheme="minorHAnsi"/>
        </w:rPr>
        <w:t>Learning undertaken by students in a placement setting falls within the scope of this framework.</w:t>
      </w:r>
    </w:p>
    <w:p w:rsidRPr="00982799" w:rsidR="009D75DE" w:rsidP="009D75DE" w:rsidRDefault="009D75DE" w14:paraId="16E66951" w14:textId="77777777">
      <w:pPr>
        <w:pStyle w:val="ListParagraph"/>
        <w:ind w:left="360"/>
        <w:rPr>
          <w:rFonts w:cstheme="minorHAnsi"/>
        </w:rPr>
      </w:pPr>
    </w:p>
    <w:p w:rsidRPr="00982799" w:rsidR="00AF3BA5" w:rsidP="00AF3BA5" w:rsidRDefault="009D75DE" w14:paraId="09EB1E07" w14:textId="196DDDD9">
      <w:pPr>
        <w:pStyle w:val="ListParagraph"/>
        <w:numPr>
          <w:ilvl w:val="0"/>
          <w:numId w:val="12"/>
        </w:numPr>
        <w:jc w:val="both"/>
        <w:rPr>
          <w:b/>
          <w:bCs/>
        </w:rPr>
      </w:pPr>
      <w:r w:rsidRPr="00982799">
        <w:rPr>
          <w:rFonts w:cstheme="minorHAnsi"/>
        </w:rPr>
        <w:t>Typically, placement learning</w:t>
      </w:r>
      <w:r w:rsidRPr="00982799" w:rsidR="00AF3BA5">
        <w:rPr>
          <w:rFonts w:cstheme="minorHAnsi"/>
        </w:rPr>
        <w:t xml:space="preserve"> will either:</w:t>
      </w:r>
    </w:p>
    <w:p w:rsidRPr="00982799" w:rsidR="00AF3BA5" w:rsidP="00AF3BA5" w:rsidRDefault="009D75DE" w14:paraId="42940917" w14:textId="56FC7730">
      <w:pPr>
        <w:pStyle w:val="ListParagraph"/>
        <w:numPr>
          <w:ilvl w:val="1"/>
          <w:numId w:val="12"/>
        </w:numPr>
        <w:jc w:val="both"/>
        <w:rPr>
          <w:b/>
          <w:bCs/>
        </w:rPr>
      </w:pPr>
      <w:r w:rsidRPr="00982799">
        <w:rPr>
          <w:rFonts w:cstheme="minorHAnsi"/>
        </w:rPr>
        <w:t xml:space="preserve"> be accommodated with</w:t>
      </w:r>
      <w:r w:rsidRPr="00982799" w:rsidR="00AF3BA5">
        <w:rPr>
          <w:rFonts w:cstheme="minorHAnsi"/>
        </w:rPr>
        <w:t>in</w:t>
      </w:r>
      <w:r w:rsidRPr="00982799">
        <w:rPr>
          <w:rFonts w:cstheme="minorHAnsi"/>
        </w:rPr>
        <w:t xml:space="preserve"> a module that </w:t>
      </w:r>
      <w:r w:rsidRPr="00982799" w:rsidR="008361B2">
        <w:rPr>
          <w:rFonts w:cstheme="minorHAnsi"/>
        </w:rPr>
        <w:t xml:space="preserve">also </w:t>
      </w:r>
      <w:r w:rsidRPr="00982799">
        <w:rPr>
          <w:rFonts w:cstheme="minorHAnsi"/>
        </w:rPr>
        <w:t>inc</w:t>
      </w:r>
      <w:r w:rsidRPr="00982799" w:rsidR="008361B2">
        <w:rPr>
          <w:rFonts w:cstheme="minorHAnsi"/>
        </w:rPr>
        <w:t>l</w:t>
      </w:r>
      <w:r w:rsidRPr="00982799">
        <w:rPr>
          <w:rFonts w:cstheme="minorHAnsi"/>
        </w:rPr>
        <w:t xml:space="preserve">udes within it </w:t>
      </w:r>
      <w:r w:rsidRPr="00982799" w:rsidR="008361B2">
        <w:rPr>
          <w:rFonts w:cstheme="minorHAnsi"/>
        </w:rPr>
        <w:t>a</w:t>
      </w:r>
      <w:r w:rsidRPr="00982799">
        <w:rPr>
          <w:rFonts w:cstheme="minorHAnsi"/>
        </w:rPr>
        <w:t xml:space="preserve"> </w:t>
      </w:r>
      <w:r w:rsidRPr="00982799" w:rsidR="008361B2">
        <w:rPr>
          <w:rFonts w:cstheme="minorHAnsi"/>
        </w:rPr>
        <w:t xml:space="preserve">related </w:t>
      </w:r>
      <w:r w:rsidRPr="00982799">
        <w:rPr>
          <w:rFonts w:cstheme="minorHAnsi"/>
        </w:rPr>
        <w:t>academic component</w:t>
      </w:r>
      <w:r w:rsidRPr="00982799" w:rsidR="00AF3BA5">
        <w:rPr>
          <w:rFonts w:cstheme="minorHAnsi"/>
        </w:rPr>
        <w:t xml:space="preserve"> (a “</w:t>
      </w:r>
      <w:r w:rsidRPr="00982799" w:rsidR="00AF3BA5">
        <w:t>theory and practice” module</w:t>
      </w:r>
      <w:r w:rsidR="00B8457D">
        <w:t>)</w:t>
      </w:r>
      <w:r w:rsidRPr="00982799">
        <w:rPr>
          <w:rFonts w:cstheme="minorHAnsi"/>
        </w:rPr>
        <w:t xml:space="preserve">. The intended learning outcomes for the module will reflect </w:t>
      </w:r>
      <w:r w:rsidRPr="00982799" w:rsidR="00DF20B2">
        <w:rPr>
          <w:rFonts w:cstheme="minorHAnsi"/>
        </w:rPr>
        <w:t xml:space="preserve">both </w:t>
      </w:r>
      <w:r w:rsidRPr="00982799">
        <w:rPr>
          <w:rFonts w:cstheme="minorHAnsi"/>
        </w:rPr>
        <w:t xml:space="preserve">its </w:t>
      </w:r>
      <w:r w:rsidRPr="00982799" w:rsidR="00C231C7">
        <w:rPr>
          <w:rFonts w:cstheme="minorHAnsi"/>
        </w:rPr>
        <w:t xml:space="preserve">theoretical and practical components. </w:t>
      </w:r>
      <w:r w:rsidRPr="00982799" w:rsidR="000E7E0A">
        <w:rPr>
          <w:rFonts w:cstheme="minorHAnsi"/>
        </w:rPr>
        <w:t xml:space="preserve"> </w:t>
      </w:r>
    </w:p>
    <w:p w:rsidRPr="00982799" w:rsidR="00AF3BA5" w:rsidP="00AF3BA5" w:rsidRDefault="00AF3BA5" w14:paraId="22CEE0D9" w14:textId="0C9BC11D">
      <w:pPr>
        <w:pStyle w:val="ListParagraph"/>
        <w:numPr>
          <w:ilvl w:val="1"/>
          <w:numId w:val="12"/>
        </w:numPr>
        <w:jc w:val="both"/>
      </w:pPr>
      <w:r w:rsidRPr="00982799">
        <w:t xml:space="preserve">or accommodated within a practice placement module. </w:t>
      </w:r>
    </w:p>
    <w:p w:rsidRPr="00982799" w:rsidR="00AF3BA5" w:rsidP="00AF3BA5" w:rsidRDefault="00AF3BA5" w14:paraId="0CC73D29" w14:textId="77777777">
      <w:pPr>
        <w:pStyle w:val="ListParagraph"/>
        <w:ind w:left="1080"/>
        <w:jc w:val="both"/>
        <w:rPr>
          <w:b/>
          <w:bCs/>
        </w:rPr>
      </w:pPr>
    </w:p>
    <w:p w:rsidRPr="00982799" w:rsidR="00C231C7" w:rsidP="00AF3BA5" w:rsidRDefault="00982799" w14:paraId="46C2A309" w14:textId="58FDA730">
      <w:pPr>
        <w:pStyle w:val="ListParagraph"/>
        <w:numPr>
          <w:ilvl w:val="0"/>
          <w:numId w:val="12"/>
        </w:numPr>
        <w:rPr>
          <w:b/>
          <w:bCs/>
        </w:rPr>
      </w:pPr>
      <w:r>
        <w:rPr>
          <w:rFonts w:cstheme="minorHAnsi"/>
        </w:rPr>
        <w:t>Placement m</w:t>
      </w:r>
      <w:r w:rsidRPr="00982799" w:rsidR="000E7E0A">
        <w:rPr>
          <w:rFonts w:cstheme="minorHAnsi"/>
        </w:rPr>
        <w:t xml:space="preserve">odules normally have a credit-rating of 30 credits. </w:t>
      </w:r>
    </w:p>
    <w:p w:rsidRPr="00982799" w:rsidR="00DF20B2" w:rsidP="00DF20B2" w:rsidRDefault="00DF20B2" w14:paraId="6CAF8B44" w14:textId="77777777">
      <w:pPr>
        <w:pStyle w:val="ListParagraph"/>
        <w:rPr>
          <w:b/>
          <w:bCs/>
        </w:rPr>
      </w:pPr>
    </w:p>
    <w:p w:rsidRPr="00982799" w:rsidR="00DF20B2" w:rsidP="00DD7130" w:rsidRDefault="00DF20B2" w14:paraId="03CD0E70" w14:textId="19E443F1">
      <w:pPr>
        <w:pStyle w:val="ListParagraph"/>
        <w:numPr>
          <w:ilvl w:val="0"/>
          <w:numId w:val="12"/>
        </w:numPr>
        <w:jc w:val="both"/>
      </w:pPr>
      <w:r w:rsidRPr="00982799">
        <w:t xml:space="preserve">A </w:t>
      </w:r>
      <w:r w:rsidRPr="00982799" w:rsidR="006953A8">
        <w:t>30</w:t>
      </w:r>
      <w:r w:rsidRPr="00982799">
        <w:t xml:space="preserve"> credit “theory and practice”</w:t>
      </w:r>
      <w:r w:rsidRPr="00982799" w:rsidR="00AF3BA5">
        <w:t xml:space="preserve"> module</w:t>
      </w:r>
      <w:r w:rsidRPr="00982799">
        <w:t xml:space="preserve"> will usually compromise </w:t>
      </w:r>
      <w:r w:rsidRPr="00982799" w:rsidR="006953A8">
        <w:t>300</w:t>
      </w:r>
      <w:r w:rsidRPr="00982799">
        <w:t xml:space="preserve"> notional study hours. </w:t>
      </w:r>
      <w:r w:rsidRPr="00982799" w:rsidR="006953A8">
        <w:t xml:space="preserve"> Hours spent by students in placement learning will be recorded in the module descriptor for the module so that the total time commitment represented by the module is clear to all students. </w:t>
      </w:r>
      <w:r w:rsidRPr="00982799" w:rsidR="006E0AD8">
        <w:t xml:space="preserve"> In some cases, when time spent on placement is added, the total time commitment for </w:t>
      </w:r>
      <w:r w:rsidRPr="00982799" w:rsidR="00AF3BA5">
        <w:t>a “theory and practice” module</w:t>
      </w:r>
      <w:r w:rsidRPr="00982799" w:rsidR="006E0AD8">
        <w:t xml:space="preserve"> may exceed 300 hours.  Figure 3 provides an example based on a </w:t>
      </w:r>
      <w:r w:rsidRPr="00982799" w:rsidR="00AF3BA5">
        <w:t xml:space="preserve">“theory and practice” </w:t>
      </w:r>
      <w:r w:rsidRPr="00982799" w:rsidR="006E0AD8">
        <w:t xml:space="preserve">module that includes a five-week placement. </w:t>
      </w:r>
    </w:p>
    <w:p w:rsidRPr="00982799" w:rsidR="006E0AD8" w:rsidP="006E0AD8" w:rsidRDefault="006E0AD8" w14:paraId="2C284343" w14:textId="77777777">
      <w:pPr>
        <w:pStyle w:val="ListParagraph"/>
      </w:pPr>
    </w:p>
    <w:p w:rsidRPr="00982799" w:rsidR="002B3E58" w:rsidP="006E0AD8" w:rsidRDefault="006E0AD8" w14:paraId="4C3946D2" w14:textId="6168096F">
      <w:pPr>
        <w:pStyle w:val="ListParagraph"/>
        <w:ind w:left="360"/>
        <w:jc w:val="both"/>
        <w:rPr>
          <w:b/>
          <w:bCs/>
        </w:rPr>
      </w:pPr>
      <w:r w:rsidRPr="00982799">
        <w:rPr>
          <w:b/>
          <w:bCs/>
        </w:rPr>
        <w:t>Figure 3:</w:t>
      </w:r>
      <w:r w:rsidRPr="00982799" w:rsidR="0041138F">
        <w:rPr>
          <w:b/>
          <w:bCs/>
        </w:rPr>
        <w:t xml:space="preserve"> teaching and learning strategy for a </w:t>
      </w:r>
      <w:r w:rsidRPr="00982799" w:rsidR="00CB12AF">
        <w:rPr>
          <w:b/>
          <w:bCs/>
        </w:rPr>
        <w:t>30-credit</w:t>
      </w:r>
      <w:r w:rsidRPr="00982799" w:rsidR="0041138F">
        <w:rPr>
          <w:b/>
          <w:bCs/>
        </w:rPr>
        <w:t xml:space="preserve"> module that includes a </w:t>
      </w:r>
      <w:r w:rsidRPr="00982799" w:rsidR="00AF3BA5">
        <w:rPr>
          <w:b/>
          <w:bCs/>
        </w:rPr>
        <w:t>5-week</w:t>
      </w:r>
      <w:r w:rsidRPr="00982799" w:rsidR="0041138F">
        <w:rPr>
          <w:b/>
          <w:bCs/>
        </w:rPr>
        <w:t xml:space="preserve"> </w:t>
      </w:r>
      <w:r w:rsidRPr="00982799" w:rsidR="00AF3BA5">
        <w:rPr>
          <w:b/>
          <w:bCs/>
        </w:rPr>
        <w:t>placement.</w:t>
      </w:r>
    </w:p>
    <w:tbl>
      <w:tblPr>
        <w:tblStyle w:val="ListTable3-Accent31"/>
        <w:tblW w:w="0" w:type="auto"/>
        <w:tblBorders>
          <w:insideH w:val="single" w:color="7CBE31" w:sz="4" w:space="0"/>
          <w:insideV w:val="single" w:color="7CBE31" w:sz="4" w:space="0"/>
        </w:tblBorders>
        <w:shd w:val="clear" w:color="auto" w:fill="7CBE31"/>
        <w:tblLook w:val="04A0" w:firstRow="1" w:lastRow="0" w:firstColumn="1" w:lastColumn="0" w:noHBand="0" w:noVBand="1"/>
      </w:tblPr>
      <w:tblGrid>
        <w:gridCol w:w="7650"/>
        <w:gridCol w:w="1366"/>
      </w:tblGrid>
      <w:tr w:rsidRPr="00982799" w:rsidR="002B3E58" w:rsidTr="004B2D67" w14:paraId="6AFD9FBA"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650" w:type="dxa"/>
            <w:shd w:val="clear" w:color="auto" w:fill="7CBE31"/>
          </w:tcPr>
          <w:p w:rsidRPr="00982799" w:rsidR="002B3E58" w:rsidP="004B2D67" w:rsidRDefault="002B3E58" w14:paraId="3C5EF539" w14:textId="77777777">
            <w:pPr>
              <w:rPr>
                <w:rFonts w:cstheme="minorHAnsi"/>
                <w:color w:val="auto"/>
              </w:rPr>
            </w:pPr>
            <w:r w:rsidRPr="00982799">
              <w:rPr>
                <w:rFonts w:cstheme="minorHAnsi"/>
                <w:color w:val="auto"/>
              </w:rPr>
              <w:t>Contact Type:</w:t>
            </w:r>
          </w:p>
        </w:tc>
        <w:tc>
          <w:tcPr>
            <w:tcW w:w="1366" w:type="dxa"/>
            <w:shd w:val="clear" w:color="auto" w:fill="7CBE31"/>
          </w:tcPr>
          <w:p w:rsidRPr="00982799" w:rsidR="002B3E58" w:rsidP="004B2D67" w:rsidRDefault="002B3E58" w14:paraId="21F26446" w14:textId="77777777">
            <w:pPr>
              <w:cnfStyle w:val="100000000000" w:firstRow="1" w:lastRow="0" w:firstColumn="0" w:lastColumn="0" w:oddVBand="0" w:evenVBand="0" w:oddHBand="0" w:evenHBand="0" w:firstRowFirstColumn="0" w:firstRowLastColumn="0" w:lastRowFirstColumn="0" w:lastRowLastColumn="0"/>
              <w:rPr>
                <w:rFonts w:cstheme="minorHAnsi"/>
                <w:color w:val="auto"/>
              </w:rPr>
            </w:pPr>
            <w:r w:rsidRPr="00982799">
              <w:rPr>
                <w:rFonts w:cstheme="minorHAnsi"/>
                <w:color w:val="auto"/>
              </w:rPr>
              <w:t>Hours</w:t>
            </w:r>
          </w:p>
        </w:tc>
      </w:tr>
      <w:tr w:rsidRPr="00982799" w:rsidR="002B3E58" w:rsidTr="004B2D67" w14:paraId="04E63CB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0" w:type="dxa"/>
            <w:shd w:val="clear" w:color="auto" w:fill="auto"/>
          </w:tcPr>
          <w:p w:rsidRPr="00982799" w:rsidR="002B3E58" w:rsidP="004B2D67" w:rsidRDefault="002B3E58" w14:paraId="1EE59BA8" w14:textId="77777777">
            <w:pPr>
              <w:rPr>
                <w:b w:val="0"/>
                <w:bCs w:val="0"/>
                <w:lang w:val="en-US"/>
              </w:rPr>
            </w:pPr>
            <w:r w:rsidRPr="00982799">
              <w:rPr>
                <w:b w:val="0"/>
                <w:bCs w:val="0"/>
                <w:lang w:val="en-US"/>
              </w:rPr>
              <w:t>Keynote Lectures</w:t>
            </w:r>
          </w:p>
        </w:tc>
        <w:tc>
          <w:tcPr>
            <w:tcW w:w="1366" w:type="dxa"/>
            <w:shd w:val="clear" w:color="auto" w:fill="auto"/>
          </w:tcPr>
          <w:p w:rsidRPr="00982799" w:rsidR="002B3E58" w:rsidP="004B2D67" w:rsidRDefault="002B3E58" w14:paraId="699143E3" w14:textId="453FB513">
            <w:pPr>
              <w:cnfStyle w:val="000000100000" w:firstRow="0" w:lastRow="0" w:firstColumn="0" w:lastColumn="0" w:oddVBand="0" w:evenVBand="0" w:oddHBand="1" w:evenHBand="0" w:firstRowFirstColumn="0" w:firstRowLastColumn="0" w:lastRowFirstColumn="0" w:lastRowLastColumn="0"/>
              <w:rPr>
                <w:lang w:val="en-US"/>
              </w:rPr>
            </w:pPr>
            <w:r w:rsidRPr="00982799">
              <w:rPr>
                <w:lang w:val="en-US"/>
              </w:rPr>
              <w:t>5</w:t>
            </w:r>
            <w:r w:rsidRPr="00982799" w:rsidR="00B81D47">
              <w:rPr>
                <w:lang w:val="en-US"/>
              </w:rPr>
              <w:t>0</w:t>
            </w:r>
          </w:p>
        </w:tc>
      </w:tr>
      <w:tr w:rsidRPr="00982799" w:rsidR="002B3E58" w:rsidTr="004B2D67" w14:paraId="261E3A33" w14:textId="77777777">
        <w:tc>
          <w:tcPr>
            <w:cnfStyle w:val="001000000000" w:firstRow="0" w:lastRow="0" w:firstColumn="1" w:lastColumn="0" w:oddVBand="0" w:evenVBand="0" w:oddHBand="0" w:evenHBand="0" w:firstRowFirstColumn="0" w:firstRowLastColumn="0" w:lastRowFirstColumn="0" w:lastRowLastColumn="0"/>
            <w:tcW w:w="7650" w:type="dxa"/>
            <w:shd w:val="clear" w:color="auto" w:fill="auto"/>
          </w:tcPr>
          <w:p w:rsidRPr="00982799" w:rsidR="002B3E58" w:rsidP="004B2D67" w:rsidRDefault="002B3E58" w14:paraId="0FB45635" w14:textId="77777777">
            <w:pPr>
              <w:rPr>
                <w:b w:val="0"/>
                <w:bCs w:val="0"/>
                <w:lang w:val="en-US"/>
              </w:rPr>
            </w:pPr>
            <w:r w:rsidRPr="00982799">
              <w:rPr>
                <w:b w:val="0"/>
                <w:bCs w:val="0"/>
                <w:lang w:val="en-US"/>
              </w:rPr>
              <w:t xml:space="preserve">Tutorials and Seminars </w:t>
            </w:r>
          </w:p>
        </w:tc>
        <w:tc>
          <w:tcPr>
            <w:tcW w:w="1366" w:type="dxa"/>
            <w:shd w:val="clear" w:color="auto" w:fill="auto"/>
          </w:tcPr>
          <w:p w:rsidRPr="00982799" w:rsidR="002B3E58" w:rsidP="004B2D67" w:rsidRDefault="00B81D47" w14:paraId="145BF04B" w14:textId="6B198801">
            <w:pPr>
              <w:cnfStyle w:val="000000000000" w:firstRow="0" w:lastRow="0" w:firstColumn="0" w:lastColumn="0" w:oddVBand="0" w:evenVBand="0" w:oddHBand="0" w:evenHBand="0" w:firstRowFirstColumn="0" w:firstRowLastColumn="0" w:lastRowFirstColumn="0" w:lastRowLastColumn="0"/>
              <w:rPr>
                <w:lang w:val="en-US"/>
              </w:rPr>
            </w:pPr>
            <w:r w:rsidRPr="00982799">
              <w:rPr>
                <w:lang w:val="en-US"/>
              </w:rPr>
              <w:t>30</w:t>
            </w:r>
          </w:p>
        </w:tc>
      </w:tr>
      <w:tr w:rsidRPr="00982799" w:rsidR="002B3E58" w:rsidTr="004B2D67" w14:paraId="2429EC3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0" w:type="dxa"/>
            <w:shd w:val="clear" w:color="auto" w:fill="auto"/>
          </w:tcPr>
          <w:p w:rsidRPr="00982799" w:rsidR="002B3E58" w:rsidP="004B2D67" w:rsidRDefault="002B3E58" w14:paraId="70AB7EE8" w14:textId="33A546D3">
            <w:pPr>
              <w:rPr>
                <w:b w:val="0"/>
                <w:bCs w:val="0"/>
                <w:lang w:val="en-US"/>
              </w:rPr>
            </w:pPr>
            <w:r w:rsidRPr="00982799">
              <w:rPr>
                <w:b w:val="0"/>
                <w:bCs w:val="0"/>
                <w:lang w:val="en-US"/>
              </w:rPr>
              <w:t xml:space="preserve">Practical Sessions (including clinical skills and </w:t>
            </w:r>
            <w:r w:rsidRPr="00982799" w:rsidR="00B81D47">
              <w:rPr>
                <w:b w:val="0"/>
                <w:bCs w:val="0"/>
                <w:lang w:val="en-US"/>
              </w:rPr>
              <w:t>communication skills</w:t>
            </w:r>
            <w:r w:rsidRPr="00982799">
              <w:rPr>
                <w:b w:val="0"/>
                <w:bCs w:val="0"/>
                <w:lang w:val="en-US"/>
              </w:rPr>
              <w:t xml:space="preserve"> sessions)</w:t>
            </w:r>
          </w:p>
        </w:tc>
        <w:tc>
          <w:tcPr>
            <w:tcW w:w="1366" w:type="dxa"/>
            <w:shd w:val="clear" w:color="auto" w:fill="auto"/>
          </w:tcPr>
          <w:p w:rsidRPr="00982799" w:rsidR="002B3E58" w:rsidP="004B2D67" w:rsidRDefault="00CB12AF" w14:paraId="7E3075F3" w14:textId="65C54565">
            <w:pPr>
              <w:cnfStyle w:val="000000100000" w:firstRow="0" w:lastRow="0" w:firstColumn="0" w:lastColumn="0" w:oddVBand="0" w:evenVBand="0" w:oddHBand="1" w:evenHBand="0" w:firstRowFirstColumn="0" w:firstRowLastColumn="0" w:lastRowFirstColumn="0" w:lastRowLastColumn="0"/>
              <w:rPr>
                <w:lang w:val="en-US"/>
              </w:rPr>
            </w:pPr>
            <w:r w:rsidRPr="00982799">
              <w:rPr>
                <w:lang w:val="en-US"/>
              </w:rPr>
              <w:t>2</w:t>
            </w:r>
            <w:r w:rsidRPr="00982799" w:rsidR="00B81D47">
              <w:rPr>
                <w:lang w:val="en-US"/>
              </w:rPr>
              <w:t>0</w:t>
            </w:r>
          </w:p>
        </w:tc>
      </w:tr>
      <w:tr w:rsidRPr="00982799" w:rsidR="002B3E58" w:rsidTr="004B2D67" w14:paraId="349978EC" w14:textId="77777777">
        <w:tc>
          <w:tcPr>
            <w:cnfStyle w:val="001000000000" w:firstRow="0" w:lastRow="0" w:firstColumn="1" w:lastColumn="0" w:oddVBand="0" w:evenVBand="0" w:oddHBand="0" w:evenHBand="0" w:firstRowFirstColumn="0" w:firstRowLastColumn="0" w:lastRowFirstColumn="0" w:lastRowLastColumn="0"/>
            <w:tcW w:w="7650" w:type="dxa"/>
            <w:shd w:val="clear" w:color="auto" w:fill="auto"/>
          </w:tcPr>
          <w:p w:rsidRPr="00982799" w:rsidR="002B3E58" w:rsidP="004B2D67" w:rsidRDefault="002B3E58" w14:paraId="77585E22" w14:textId="669ACF1D">
            <w:pPr>
              <w:rPr>
                <w:b w:val="0"/>
                <w:bCs w:val="0"/>
                <w:lang w:val="en-US"/>
              </w:rPr>
            </w:pPr>
            <w:r w:rsidRPr="00982799">
              <w:rPr>
                <w:b w:val="0"/>
                <w:bCs w:val="0"/>
                <w:lang w:val="en-US"/>
              </w:rPr>
              <w:lastRenderedPageBreak/>
              <w:t xml:space="preserve">Directed Study </w:t>
            </w:r>
          </w:p>
        </w:tc>
        <w:tc>
          <w:tcPr>
            <w:tcW w:w="1366" w:type="dxa"/>
            <w:shd w:val="clear" w:color="auto" w:fill="auto"/>
          </w:tcPr>
          <w:p w:rsidRPr="00982799" w:rsidR="002B3E58" w:rsidP="004B2D67" w:rsidRDefault="00B81D47" w14:paraId="1420423A" w14:textId="5DF81511">
            <w:pPr>
              <w:cnfStyle w:val="000000000000" w:firstRow="0" w:lastRow="0" w:firstColumn="0" w:lastColumn="0" w:oddVBand="0" w:evenVBand="0" w:oddHBand="0" w:evenHBand="0" w:firstRowFirstColumn="0" w:firstRowLastColumn="0" w:lastRowFirstColumn="0" w:lastRowLastColumn="0"/>
              <w:rPr>
                <w:lang w:val="en-US"/>
              </w:rPr>
            </w:pPr>
            <w:r w:rsidRPr="00982799">
              <w:rPr>
                <w:lang w:val="en-US"/>
              </w:rPr>
              <w:t>50</w:t>
            </w:r>
          </w:p>
        </w:tc>
      </w:tr>
      <w:tr w:rsidRPr="00982799" w:rsidR="002B3E58" w:rsidTr="004B2D67" w14:paraId="355BBBC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0" w:type="dxa"/>
            <w:shd w:val="clear" w:color="auto" w:fill="auto"/>
          </w:tcPr>
          <w:p w:rsidRPr="00982799" w:rsidR="002B3E58" w:rsidP="004B2D67" w:rsidRDefault="003F32FF" w14:paraId="7EC0C501" w14:textId="2B4E4645">
            <w:pPr>
              <w:rPr>
                <w:b w:val="0"/>
                <w:bCs w:val="0"/>
                <w:lang w:val="en-US"/>
              </w:rPr>
            </w:pPr>
            <w:r>
              <w:rPr>
                <w:b w:val="0"/>
                <w:bCs w:val="0"/>
                <w:lang w:val="en-US"/>
              </w:rPr>
              <w:t xml:space="preserve">Independent </w:t>
            </w:r>
            <w:r w:rsidRPr="00982799" w:rsidR="002B3E58">
              <w:rPr>
                <w:b w:val="0"/>
                <w:bCs w:val="0"/>
                <w:lang w:val="en-US"/>
              </w:rPr>
              <w:t xml:space="preserve">Study </w:t>
            </w:r>
          </w:p>
        </w:tc>
        <w:tc>
          <w:tcPr>
            <w:tcW w:w="1366" w:type="dxa"/>
            <w:shd w:val="clear" w:color="auto" w:fill="auto"/>
          </w:tcPr>
          <w:p w:rsidRPr="00982799" w:rsidR="002B3E58" w:rsidP="004B2D67" w:rsidRDefault="00B81D47" w14:paraId="4452BE4F" w14:textId="070A54D9">
            <w:pPr>
              <w:cnfStyle w:val="000000100000" w:firstRow="0" w:lastRow="0" w:firstColumn="0" w:lastColumn="0" w:oddVBand="0" w:evenVBand="0" w:oddHBand="1" w:evenHBand="0" w:firstRowFirstColumn="0" w:firstRowLastColumn="0" w:lastRowFirstColumn="0" w:lastRowLastColumn="0"/>
              <w:rPr>
                <w:lang w:val="en-US"/>
              </w:rPr>
            </w:pPr>
            <w:r w:rsidRPr="00982799">
              <w:rPr>
                <w:lang w:val="en-US"/>
              </w:rPr>
              <w:t>50</w:t>
            </w:r>
          </w:p>
        </w:tc>
      </w:tr>
      <w:tr w:rsidRPr="00982799" w:rsidR="00B81D47" w:rsidTr="004B2D67" w14:paraId="4233E88C" w14:textId="77777777">
        <w:tc>
          <w:tcPr>
            <w:cnfStyle w:val="001000000000" w:firstRow="0" w:lastRow="0" w:firstColumn="1" w:lastColumn="0" w:oddVBand="0" w:evenVBand="0" w:oddHBand="0" w:evenHBand="0" w:firstRowFirstColumn="0" w:firstRowLastColumn="0" w:lastRowFirstColumn="0" w:lastRowLastColumn="0"/>
            <w:tcW w:w="7650" w:type="dxa"/>
            <w:shd w:val="clear" w:color="auto" w:fill="auto"/>
          </w:tcPr>
          <w:p w:rsidRPr="00982799" w:rsidR="00B81D47" w:rsidP="004B2D67" w:rsidRDefault="0041138F" w14:paraId="509AC806" w14:textId="63F148D6">
            <w:pPr>
              <w:rPr>
                <w:b w:val="0"/>
                <w:bCs w:val="0"/>
              </w:rPr>
            </w:pPr>
            <w:r w:rsidRPr="00982799">
              <w:rPr>
                <w:b w:val="0"/>
                <w:bCs w:val="0"/>
              </w:rPr>
              <w:t>5-week</w:t>
            </w:r>
            <w:r w:rsidRPr="00982799" w:rsidR="00B81D47">
              <w:rPr>
                <w:b w:val="0"/>
                <w:bCs w:val="0"/>
              </w:rPr>
              <w:t xml:space="preserve"> placement </w:t>
            </w:r>
          </w:p>
        </w:tc>
        <w:tc>
          <w:tcPr>
            <w:tcW w:w="1366" w:type="dxa"/>
            <w:shd w:val="clear" w:color="auto" w:fill="auto"/>
          </w:tcPr>
          <w:p w:rsidRPr="00982799" w:rsidR="00B81D47" w:rsidP="004B2D67" w:rsidRDefault="00B81D47" w14:paraId="5CF871D5" w14:textId="6D13CD7B">
            <w:pPr>
              <w:cnfStyle w:val="000000000000" w:firstRow="0" w:lastRow="0" w:firstColumn="0" w:lastColumn="0" w:oddVBand="0" w:evenVBand="0" w:oddHBand="0" w:evenHBand="0" w:firstRowFirstColumn="0" w:firstRowLastColumn="0" w:lastRowFirstColumn="0" w:lastRowLastColumn="0"/>
            </w:pPr>
            <w:r w:rsidRPr="00982799">
              <w:t>175</w:t>
            </w:r>
          </w:p>
        </w:tc>
      </w:tr>
      <w:tr w:rsidRPr="00982799" w:rsidR="002B3E58" w:rsidTr="004B2D67" w14:paraId="5A2F8A7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0" w:type="dxa"/>
            <w:shd w:val="clear" w:color="auto" w:fill="auto"/>
          </w:tcPr>
          <w:p w:rsidRPr="00982799" w:rsidR="002B3E58" w:rsidP="004B2D67" w:rsidRDefault="002B3E58" w14:paraId="1B3FD4C1" w14:textId="70737B58">
            <w:pPr>
              <w:rPr>
                <w:rFonts w:cstheme="minorHAnsi"/>
              </w:rPr>
            </w:pPr>
            <w:r w:rsidRPr="00982799">
              <w:rPr>
                <w:rFonts w:cstheme="minorHAnsi"/>
              </w:rPr>
              <w:t xml:space="preserve">Total </w:t>
            </w:r>
            <w:r w:rsidRPr="00982799" w:rsidR="00CB12AF">
              <w:rPr>
                <w:rFonts w:cstheme="minorHAnsi"/>
              </w:rPr>
              <w:t xml:space="preserve">(without placement) </w:t>
            </w:r>
          </w:p>
        </w:tc>
        <w:tc>
          <w:tcPr>
            <w:tcW w:w="1366" w:type="dxa"/>
            <w:shd w:val="clear" w:color="auto" w:fill="auto"/>
          </w:tcPr>
          <w:p w:rsidRPr="00982799" w:rsidR="002B3E58" w:rsidP="004B2D67" w:rsidRDefault="00CB12AF" w14:paraId="7AD1B592" w14:textId="2356E2C5">
            <w:pPr>
              <w:cnfStyle w:val="000000100000" w:firstRow="0" w:lastRow="0" w:firstColumn="0" w:lastColumn="0" w:oddVBand="0" w:evenVBand="0" w:oddHBand="1" w:evenHBand="0" w:firstRowFirstColumn="0" w:firstRowLastColumn="0" w:lastRowFirstColumn="0" w:lastRowLastColumn="0"/>
              <w:rPr>
                <w:rFonts w:cstheme="minorHAnsi"/>
                <w:b/>
                <w:bCs/>
              </w:rPr>
            </w:pPr>
            <w:r w:rsidRPr="00982799">
              <w:rPr>
                <w:rFonts w:cstheme="minorHAnsi"/>
                <w:b/>
                <w:bCs/>
              </w:rPr>
              <w:t>2</w:t>
            </w:r>
            <w:r w:rsidRPr="00982799" w:rsidR="002B3E58">
              <w:rPr>
                <w:rFonts w:cstheme="minorHAnsi"/>
                <w:b/>
                <w:bCs/>
              </w:rPr>
              <w:t xml:space="preserve">00 Hours </w:t>
            </w:r>
          </w:p>
        </w:tc>
      </w:tr>
      <w:tr w:rsidRPr="00982799" w:rsidR="00CB12AF" w:rsidTr="004B2D67" w14:paraId="1BFBAF7A" w14:textId="77777777">
        <w:tc>
          <w:tcPr>
            <w:cnfStyle w:val="001000000000" w:firstRow="0" w:lastRow="0" w:firstColumn="1" w:lastColumn="0" w:oddVBand="0" w:evenVBand="0" w:oddHBand="0" w:evenHBand="0" w:firstRowFirstColumn="0" w:firstRowLastColumn="0" w:lastRowFirstColumn="0" w:lastRowLastColumn="0"/>
            <w:tcW w:w="7650" w:type="dxa"/>
            <w:shd w:val="clear" w:color="auto" w:fill="auto"/>
          </w:tcPr>
          <w:p w:rsidRPr="00982799" w:rsidR="00CB12AF" w:rsidP="004B2D67" w:rsidRDefault="00CB12AF" w14:paraId="4E3535F7" w14:textId="33AA42B5">
            <w:pPr>
              <w:rPr>
                <w:rFonts w:cstheme="minorHAnsi"/>
              </w:rPr>
            </w:pPr>
            <w:r w:rsidRPr="00982799">
              <w:rPr>
                <w:rFonts w:cstheme="minorHAnsi"/>
              </w:rPr>
              <w:t>Total (including placement)</w:t>
            </w:r>
          </w:p>
        </w:tc>
        <w:tc>
          <w:tcPr>
            <w:tcW w:w="1366" w:type="dxa"/>
            <w:shd w:val="clear" w:color="auto" w:fill="auto"/>
          </w:tcPr>
          <w:p w:rsidRPr="00982799" w:rsidR="00CB12AF" w:rsidP="004B2D67" w:rsidRDefault="00CB12AF" w14:paraId="6A641161" w14:textId="24247A95">
            <w:pPr>
              <w:cnfStyle w:val="000000000000" w:firstRow="0" w:lastRow="0" w:firstColumn="0" w:lastColumn="0" w:oddVBand="0" w:evenVBand="0" w:oddHBand="0" w:evenHBand="0" w:firstRowFirstColumn="0" w:firstRowLastColumn="0" w:lastRowFirstColumn="0" w:lastRowLastColumn="0"/>
              <w:rPr>
                <w:rFonts w:cstheme="minorHAnsi"/>
                <w:b/>
                <w:bCs/>
              </w:rPr>
            </w:pPr>
            <w:r w:rsidRPr="00982799">
              <w:rPr>
                <w:rFonts w:cstheme="minorHAnsi"/>
                <w:b/>
                <w:bCs/>
              </w:rPr>
              <w:t>375 hours</w:t>
            </w:r>
          </w:p>
        </w:tc>
      </w:tr>
    </w:tbl>
    <w:p w:rsidRPr="00982799" w:rsidR="002B3E58" w:rsidP="006E0AD8" w:rsidRDefault="002B3E58" w14:paraId="6066362D" w14:textId="77777777">
      <w:pPr>
        <w:pStyle w:val="ListParagraph"/>
        <w:ind w:left="360"/>
        <w:jc w:val="both"/>
      </w:pPr>
    </w:p>
    <w:p w:rsidRPr="00982799" w:rsidR="00AF3BA5" w:rsidP="00AF3BA5" w:rsidRDefault="00AF3BA5" w14:paraId="55CD16B2" w14:textId="0F7F92CB">
      <w:pPr>
        <w:pStyle w:val="ListParagraph"/>
        <w:numPr>
          <w:ilvl w:val="0"/>
          <w:numId w:val="12"/>
        </w:numPr>
        <w:jc w:val="both"/>
      </w:pPr>
      <w:r w:rsidRPr="00982799">
        <w:t xml:space="preserve">The teaching and learning strategy for a practice placement module will identify the actual hours spent by the student on placement. </w:t>
      </w:r>
    </w:p>
    <w:p w:rsidRPr="00CA3A5B" w:rsidR="00C231C7" w:rsidP="00CB12AF" w:rsidRDefault="00CB12AF" w14:paraId="33F559ED" w14:textId="0B3EDB81">
      <w:pPr>
        <w:jc w:val="both"/>
        <w:rPr>
          <w:b/>
          <w:bCs/>
        </w:rPr>
      </w:pPr>
      <w:r w:rsidRPr="00CA3A5B">
        <w:rPr>
          <w:b/>
          <w:bCs/>
        </w:rPr>
        <w:t>Assessment of practice</w:t>
      </w:r>
      <w:r w:rsidRPr="00CA3A5B" w:rsidR="002163BD">
        <w:rPr>
          <w:b/>
          <w:bCs/>
        </w:rPr>
        <w:t xml:space="preserve"> modules </w:t>
      </w:r>
    </w:p>
    <w:p w:rsidRPr="00CA3A5B" w:rsidR="000E7E0A" w:rsidP="00120BD5" w:rsidRDefault="000C07FE" w14:paraId="4B9B746C" w14:textId="24D80B74">
      <w:pPr>
        <w:pStyle w:val="ListParagraph"/>
        <w:numPr>
          <w:ilvl w:val="0"/>
          <w:numId w:val="12"/>
        </w:numPr>
      </w:pPr>
      <w:r w:rsidRPr="00CA3A5B">
        <w:t>Typically,</w:t>
      </w:r>
      <w:r w:rsidRPr="00CA3A5B" w:rsidR="000E7E0A">
        <w:t xml:space="preserve"> there will </w:t>
      </w:r>
      <w:r w:rsidRPr="00CA3A5B" w:rsidR="00CB12AF">
        <w:t xml:space="preserve">be </w:t>
      </w:r>
      <w:r w:rsidRPr="00CA3A5B" w:rsidR="002163BD">
        <w:t>a minimum of two</w:t>
      </w:r>
      <w:r w:rsidRPr="00CA3A5B" w:rsidR="00CB12AF">
        <w:t xml:space="preserve"> </w:t>
      </w:r>
      <w:r w:rsidRPr="00CA3A5B" w:rsidR="000E7E0A">
        <w:t xml:space="preserve">assessments </w:t>
      </w:r>
      <w:r w:rsidRPr="00CA3A5B" w:rsidR="00CB12AF">
        <w:t>for a 30-credit module</w:t>
      </w:r>
      <w:r w:rsidRPr="00CA3A5B" w:rsidR="002163BD">
        <w:t>, although this Framework allows that number to be exceeded for modules with a practice component</w:t>
      </w:r>
      <w:r w:rsidRPr="00CA3A5B" w:rsidR="00CB12AF">
        <w:t xml:space="preserve">. </w:t>
      </w:r>
    </w:p>
    <w:p w:rsidRPr="00CA3A5B" w:rsidR="000E7E0A" w:rsidP="000E7E0A" w:rsidRDefault="000E7E0A" w14:paraId="2B136C99" w14:textId="77777777">
      <w:pPr>
        <w:pStyle w:val="ListParagraph"/>
        <w:ind w:left="360"/>
      </w:pPr>
    </w:p>
    <w:p w:rsidRPr="00CA3A5B" w:rsidR="00AF3BA5" w:rsidP="00CB12AF" w:rsidRDefault="000E7E0A" w14:paraId="55C0615B" w14:textId="375C3EF0">
      <w:pPr>
        <w:pStyle w:val="ListParagraph"/>
        <w:numPr>
          <w:ilvl w:val="0"/>
          <w:numId w:val="12"/>
        </w:numPr>
      </w:pPr>
      <w:r w:rsidRPr="00CA3A5B">
        <w:t>For a “theory and practice”</w:t>
      </w:r>
      <w:r w:rsidRPr="00CA3A5B" w:rsidR="00AF3BA5">
        <w:t xml:space="preserve"> module</w:t>
      </w:r>
      <w:r w:rsidRPr="00CA3A5B" w:rsidR="000C07FE">
        <w:t xml:space="preserve">, there will be a single assessment related to the academic component of the module. </w:t>
      </w:r>
      <w:r w:rsidRPr="00CA3A5B" w:rsidR="00CB12AF">
        <w:t xml:space="preserve"> It may be the case that more than one assessment </w:t>
      </w:r>
      <w:r w:rsidRPr="00CA3A5B" w:rsidR="00280F34">
        <w:t xml:space="preserve">element </w:t>
      </w:r>
      <w:r w:rsidRPr="00CA3A5B" w:rsidR="00CB12AF">
        <w:t xml:space="preserve">is needed to reliably assess the learning outcomes </w:t>
      </w:r>
      <w:r w:rsidRPr="00CA3A5B" w:rsidR="000C07FE">
        <w:t xml:space="preserve">related to clinical practice </w:t>
      </w:r>
      <w:r w:rsidRPr="00CA3A5B" w:rsidR="003F669F">
        <w:t xml:space="preserve">component </w:t>
      </w:r>
      <w:r w:rsidRPr="00CA3A5B" w:rsidR="00CB12AF">
        <w:t>for modules of this kind.</w:t>
      </w:r>
      <w:r w:rsidRPr="00CA3A5B" w:rsidR="003F669F">
        <w:t xml:space="preserve"> </w:t>
      </w:r>
    </w:p>
    <w:p w:rsidR="00804FDE" w:rsidP="00804FDE" w:rsidRDefault="00804FDE" w14:paraId="388E49C1" w14:textId="77777777">
      <w:pPr>
        <w:pStyle w:val="ListParagraph"/>
      </w:pPr>
    </w:p>
    <w:p w:rsidRPr="00CA3A5B" w:rsidR="00AF3BA5" w:rsidP="00AF3BA5" w:rsidRDefault="00AF3BA5" w14:paraId="5063B22E" w14:textId="77777777">
      <w:pPr>
        <w:pStyle w:val="ListParagraph"/>
      </w:pPr>
    </w:p>
    <w:p w:rsidRPr="00CA3A5B" w:rsidR="00CB12AF" w:rsidP="00CB12AF" w:rsidRDefault="003F669F" w14:paraId="57E92F9C" w14:textId="537A4C8C">
      <w:pPr>
        <w:pStyle w:val="ListParagraph"/>
        <w:numPr>
          <w:ilvl w:val="0"/>
          <w:numId w:val="12"/>
        </w:numPr>
      </w:pPr>
      <w:r w:rsidRPr="00CA3A5B">
        <w:t xml:space="preserve">Practice-related assessments will be graded </w:t>
      </w:r>
      <w:r w:rsidR="00804FDE">
        <w:t xml:space="preserve">as pass or fail </w:t>
      </w:r>
      <w:r w:rsidRPr="00CA3A5B">
        <w:t xml:space="preserve">so that the mark for the module is derived solely from the academic assessment. </w:t>
      </w:r>
    </w:p>
    <w:p w:rsidRPr="00CA3A5B" w:rsidR="003F669F" w:rsidP="003F669F" w:rsidRDefault="003F669F" w14:paraId="417B1ECF" w14:textId="77777777">
      <w:pPr>
        <w:pStyle w:val="ListParagraph"/>
      </w:pPr>
    </w:p>
    <w:p w:rsidRPr="00CA3A5B" w:rsidR="003F669F" w:rsidP="00CB12AF" w:rsidRDefault="003F669F" w14:paraId="062E8398" w14:textId="216CE5B7">
      <w:pPr>
        <w:pStyle w:val="ListParagraph"/>
        <w:numPr>
          <w:ilvl w:val="0"/>
          <w:numId w:val="12"/>
        </w:numPr>
      </w:pPr>
      <w:r w:rsidRPr="00CA3A5B">
        <w:t>Where there are more than one practice-related assessments, these assessments will need to be passed separately.  Figure 4</w:t>
      </w:r>
      <w:r w:rsidRPr="00CA3A5B" w:rsidR="00F9275E">
        <w:t xml:space="preserve"> provides an example of an assessment strategy for a </w:t>
      </w:r>
      <w:r w:rsidRPr="00CA3A5B" w:rsidR="00AF3BA5">
        <w:t>“</w:t>
      </w:r>
      <w:r w:rsidRPr="00CA3A5B" w:rsidR="00F9275E">
        <w:t>theory and practice</w:t>
      </w:r>
      <w:r w:rsidRPr="00CA3A5B" w:rsidR="00AF3BA5">
        <w:t>”</w:t>
      </w:r>
      <w:r w:rsidRPr="00CA3A5B" w:rsidR="00F9275E">
        <w:t xml:space="preserve"> module.</w:t>
      </w:r>
    </w:p>
    <w:p w:rsidRPr="00CA3A5B" w:rsidR="00F9275E" w:rsidP="00F9275E" w:rsidRDefault="00F9275E" w14:paraId="25E203B8" w14:textId="77777777">
      <w:pPr>
        <w:pStyle w:val="ListParagraph"/>
      </w:pPr>
    </w:p>
    <w:p w:rsidRPr="00CA3A5B" w:rsidR="00F9275E" w:rsidP="00F9275E" w:rsidRDefault="00F9275E" w14:paraId="4F7DBDAA" w14:textId="64DD9769">
      <w:pPr>
        <w:pStyle w:val="ListParagraph"/>
        <w:ind w:left="360"/>
        <w:jc w:val="both"/>
        <w:rPr>
          <w:b/>
          <w:bCs/>
        </w:rPr>
      </w:pPr>
      <w:r w:rsidRPr="00CA3A5B">
        <w:rPr>
          <w:b/>
          <w:bCs/>
        </w:rPr>
        <w:t xml:space="preserve">Figure 4: summative assessment strategy for a 30-credit </w:t>
      </w:r>
      <w:r w:rsidRPr="00CA3A5B" w:rsidR="00AF3BA5">
        <w:rPr>
          <w:b/>
          <w:bCs/>
        </w:rPr>
        <w:t xml:space="preserve">theory and practice </w:t>
      </w:r>
      <w:r w:rsidRPr="00CA3A5B">
        <w:rPr>
          <w:b/>
          <w:bCs/>
        </w:rPr>
        <w:t xml:space="preserve">module that includes a </w:t>
      </w:r>
      <w:r w:rsidRPr="00CA3A5B" w:rsidR="00D44C65">
        <w:rPr>
          <w:b/>
          <w:bCs/>
        </w:rPr>
        <w:t>5-week</w:t>
      </w:r>
      <w:r w:rsidRPr="00CA3A5B">
        <w:rPr>
          <w:b/>
          <w:bCs/>
        </w:rPr>
        <w:t xml:space="preserve"> placement</w:t>
      </w:r>
    </w:p>
    <w:tbl>
      <w:tblPr>
        <w:tblStyle w:val="ListTable3-Accent31"/>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7CBE31"/>
        <w:tblLook w:val="04A0" w:firstRow="1" w:lastRow="0" w:firstColumn="1" w:lastColumn="0" w:noHBand="0" w:noVBand="1"/>
      </w:tblPr>
      <w:tblGrid>
        <w:gridCol w:w="2439"/>
        <w:gridCol w:w="1156"/>
        <w:gridCol w:w="3251"/>
        <w:gridCol w:w="2504"/>
      </w:tblGrid>
      <w:tr w:rsidRPr="00CA3A5B" w:rsidR="00431AF1" w:rsidTr="00B028B6" w14:paraId="5FAC236C" w14:textId="10C1A7C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none" w:color="auto" w:sz="0" w:space="0"/>
              <w:right w:val="none" w:color="auto" w:sz="0" w:space="0"/>
            </w:tcBorders>
            <w:shd w:val="clear" w:color="auto" w:fill="92D050"/>
          </w:tcPr>
          <w:p w:rsidRPr="00CA3A5B" w:rsidR="00431AF1" w:rsidP="004B2D67" w:rsidRDefault="00431AF1" w14:paraId="561EFDD4" w14:textId="40D3EADC">
            <w:pPr>
              <w:rPr>
                <w:rFonts w:cstheme="minorHAnsi"/>
                <w:color w:val="auto"/>
              </w:rPr>
            </w:pPr>
            <w:r w:rsidRPr="00CA3A5B">
              <w:rPr>
                <w:rFonts w:cstheme="minorHAnsi"/>
                <w:color w:val="auto"/>
              </w:rPr>
              <w:t>Assessment</w:t>
            </w:r>
            <w:r w:rsidR="00804FDE">
              <w:rPr>
                <w:rFonts w:cstheme="minorHAnsi"/>
                <w:color w:val="auto"/>
              </w:rPr>
              <w:t xml:space="preserve"> element</w:t>
            </w:r>
            <w:r w:rsidRPr="00CA3A5B">
              <w:rPr>
                <w:rFonts w:cstheme="minorHAnsi"/>
                <w:color w:val="auto"/>
              </w:rPr>
              <w:t>s</w:t>
            </w:r>
          </w:p>
        </w:tc>
        <w:tc>
          <w:tcPr>
            <w:tcW w:w="0" w:type="auto"/>
            <w:shd w:val="clear" w:color="auto" w:fill="92D050"/>
          </w:tcPr>
          <w:p w:rsidRPr="00CA3A5B" w:rsidR="00431AF1" w:rsidP="004B2D67" w:rsidRDefault="00431AF1" w14:paraId="7DFCA0A7" w14:textId="52ECC698">
            <w:pPr>
              <w:cnfStyle w:val="100000000000" w:firstRow="1" w:lastRow="0" w:firstColumn="0" w:lastColumn="0" w:oddVBand="0" w:evenVBand="0" w:oddHBand="0" w:evenHBand="0" w:firstRowFirstColumn="0" w:firstRowLastColumn="0" w:lastRowFirstColumn="0" w:lastRowLastColumn="0"/>
              <w:rPr>
                <w:rFonts w:cstheme="minorHAnsi"/>
                <w:color w:val="auto"/>
              </w:rPr>
            </w:pPr>
            <w:r w:rsidRPr="00CA3A5B">
              <w:rPr>
                <w:rFonts w:cstheme="minorHAnsi"/>
                <w:color w:val="auto"/>
              </w:rPr>
              <w:t>Weighting</w:t>
            </w:r>
          </w:p>
        </w:tc>
        <w:tc>
          <w:tcPr>
            <w:tcW w:w="0" w:type="auto"/>
            <w:shd w:val="clear" w:color="auto" w:fill="92D050"/>
          </w:tcPr>
          <w:p w:rsidRPr="00CA3A5B" w:rsidR="00431AF1" w:rsidP="004B2D67" w:rsidRDefault="00431AF1" w14:paraId="07123C7F" w14:textId="3D03F216">
            <w:pPr>
              <w:cnfStyle w:val="100000000000" w:firstRow="1" w:lastRow="0" w:firstColumn="0" w:lastColumn="0" w:oddVBand="0" w:evenVBand="0" w:oddHBand="0" w:evenHBand="0" w:firstRowFirstColumn="0" w:firstRowLastColumn="0" w:lastRowFirstColumn="0" w:lastRowLastColumn="0"/>
              <w:rPr>
                <w:rFonts w:cstheme="minorHAnsi"/>
                <w:color w:val="auto"/>
              </w:rPr>
            </w:pPr>
            <w:r w:rsidRPr="00CA3A5B">
              <w:rPr>
                <w:rFonts w:cstheme="minorHAnsi"/>
                <w:color w:val="auto"/>
              </w:rPr>
              <w:t>Achieving a pass</w:t>
            </w:r>
          </w:p>
        </w:tc>
        <w:tc>
          <w:tcPr>
            <w:tcW w:w="0" w:type="auto"/>
            <w:shd w:val="clear" w:color="auto" w:fill="92D050"/>
          </w:tcPr>
          <w:p w:rsidRPr="00CA3A5B" w:rsidR="00431AF1" w:rsidP="004B2D67" w:rsidRDefault="00431AF1" w14:paraId="704E9D90" w14:textId="098D8FC5">
            <w:pPr>
              <w:cnfStyle w:val="100000000000" w:firstRow="1" w:lastRow="0" w:firstColumn="0" w:lastColumn="0" w:oddVBand="0" w:evenVBand="0" w:oddHBand="0" w:evenHBand="0" w:firstRowFirstColumn="0" w:firstRowLastColumn="0" w:lastRowFirstColumn="0" w:lastRowLastColumn="0"/>
              <w:rPr>
                <w:rFonts w:cstheme="minorHAnsi"/>
                <w:color w:val="auto"/>
              </w:rPr>
            </w:pPr>
            <w:r w:rsidRPr="00CA3A5B">
              <w:rPr>
                <w:rFonts w:cstheme="minorHAnsi"/>
                <w:color w:val="auto"/>
              </w:rPr>
              <w:t>Deriving a mark for the module</w:t>
            </w:r>
          </w:p>
        </w:tc>
      </w:tr>
      <w:tr w:rsidRPr="00CA3A5B" w:rsidR="00431AF1" w:rsidTr="00431AF1" w14:paraId="07453686" w14:textId="12FF8B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Pr="00CA3A5B" w:rsidR="00431AF1" w:rsidP="004B2D67" w:rsidRDefault="00431AF1" w14:paraId="69D7D0B5" w14:textId="445A09D2">
            <w:pPr>
              <w:rPr>
                <w:b w:val="0"/>
                <w:bCs w:val="0"/>
                <w:lang w:val="en-US"/>
              </w:rPr>
            </w:pPr>
            <w:r w:rsidRPr="00CA3A5B">
              <w:rPr>
                <w:b w:val="0"/>
                <w:bCs w:val="0"/>
                <w:lang w:val="en-US"/>
              </w:rPr>
              <w:t>Assessment 1: coursework (3000 words)</w:t>
            </w:r>
          </w:p>
        </w:tc>
        <w:tc>
          <w:tcPr>
            <w:tcW w:w="0" w:type="auto"/>
            <w:shd w:val="clear" w:color="auto" w:fill="auto"/>
          </w:tcPr>
          <w:p w:rsidRPr="00CA3A5B" w:rsidR="00431AF1" w:rsidP="004B2D67" w:rsidRDefault="00431AF1" w14:paraId="176E8DDE" w14:textId="5DF68B0B">
            <w:pPr>
              <w:cnfStyle w:val="000000100000" w:firstRow="0" w:lastRow="0" w:firstColumn="0" w:lastColumn="0" w:oddVBand="0" w:evenVBand="0" w:oddHBand="1" w:evenHBand="0" w:firstRowFirstColumn="0" w:firstRowLastColumn="0" w:lastRowFirstColumn="0" w:lastRowLastColumn="0"/>
              <w:rPr>
                <w:lang w:val="en-US"/>
              </w:rPr>
            </w:pPr>
            <w:r w:rsidRPr="00CA3A5B">
              <w:rPr>
                <w:lang w:val="en-US"/>
              </w:rPr>
              <w:t>100%</w:t>
            </w:r>
          </w:p>
        </w:tc>
        <w:tc>
          <w:tcPr>
            <w:tcW w:w="0" w:type="auto"/>
            <w:vMerge w:val="restart"/>
          </w:tcPr>
          <w:p w:rsidRPr="00CA3A5B" w:rsidR="00431AF1" w:rsidP="004B2D67" w:rsidRDefault="00431AF1" w14:paraId="71F39040" w14:textId="6641DC56">
            <w:pPr>
              <w:cnfStyle w:val="000000100000" w:firstRow="0" w:lastRow="0" w:firstColumn="0" w:lastColumn="0" w:oddVBand="0" w:evenVBand="0" w:oddHBand="1" w:evenHBand="0" w:firstRowFirstColumn="0" w:firstRowLastColumn="0" w:lastRowFirstColumn="0" w:lastRowLastColumn="0"/>
            </w:pPr>
            <w:r w:rsidRPr="00CA3A5B">
              <w:rPr>
                <w:rFonts w:cstheme="minorHAnsi"/>
              </w:rPr>
              <w:t xml:space="preserve">It is a requirement that all elements of assessment must be passed </w:t>
            </w:r>
          </w:p>
        </w:tc>
        <w:tc>
          <w:tcPr>
            <w:tcW w:w="0" w:type="auto"/>
            <w:vMerge w:val="restart"/>
          </w:tcPr>
          <w:p w:rsidRPr="00CA3A5B" w:rsidR="00431AF1" w:rsidP="004B2D67" w:rsidRDefault="00431AF1" w14:paraId="7095E1F1" w14:textId="04F197FB">
            <w:pPr>
              <w:cnfStyle w:val="000000100000" w:firstRow="0" w:lastRow="0" w:firstColumn="0" w:lastColumn="0" w:oddVBand="0" w:evenVBand="0" w:oddHBand="1" w:evenHBand="0" w:firstRowFirstColumn="0" w:firstRowLastColumn="0" w:lastRowFirstColumn="0" w:lastRowLastColumn="0"/>
              <w:rPr>
                <w:rFonts w:cstheme="minorHAnsi"/>
              </w:rPr>
            </w:pPr>
            <w:r w:rsidRPr="00CA3A5B">
              <w:rPr>
                <w:rFonts w:cstheme="minorHAnsi"/>
              </w:rPr>
              <w:t>The module mark is derived from assessment 1</w:t>
            </w:r>
          </w:p>
        </w:tc>
      </w:tr>
      <w:tr w:rsidRPr="00CA3A5B" w:rsidR="00431AF1" w:rsidTr="00431AF1" w14:paraId="73BEBFD2" w14:textId="4109BD9B">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Pr="00CA3A5B" w:rsidR="00431AF1" w:rsidP="004B2D67" w:rsidRDefault="00431AF1" w14:paraId="054960FD" w14:textId="02A7871F">
            <w:pPr>
              <w:rPr>
                <w:b w:val="0"/>
                <w:bCs w:val="0"/>
                <w:lang w:val="en-US"/>
              </w:rPr>
            </w:pPr>
            <w:r w:rsidRPr="00CA3A5B">
              <w:rPr>
                <w:b w:val="0"/>
                <w:bCs w:val="0"/>
                <w:lang w:val="en-US"/>
              </w:rPr>
              <w:t xml:space="preserve">Assessment 2:  Skills portfolio </w:t>
            </w:r>
          </w:p>
        </w:tc>
        <w:tc>
          <w:tcPr>
            <w:tcW w:w="0" w:type="auto"/>
            <w:shd w:val="clear" w:color="auto" w:fill="auto"/>
          </w:tcPr>
          <w:p w:rsidRPr="00CA3A5B" w:rsidR="00431AF1" w:rsidP="004B2D67" w:rsidRDefault="00431AF1" w14:paraId="6B1A8720" w14:textId="26A9D017">
            <w:pPr>
              <w:cnfStyle w:val="000000000000" w:firstRow="0" w:lastRow="0" w:firstColumn="0" w:lastColumn="0" w:oddVBand="0" w:evenVBand="0" w:oddHBand="0" w:evenHBand="0" w:firstRowFirstColumn="0" w:firstRowLastColumn="0" w:lastRowFirstColumn="0" w:lastRowLastColumn="0"/>
              <w:rPr>
                <w:lang w:val="en-US"/>
              </w:rPr>
            </w:pPr>
            <w:r w:rsidRPr="00CA3A5B">
              <w:rPr>
                <w:lang w:val="en-US"/>
              </w:rPr>
              <w:t>Pass/fail</w:t>
            </w:r>
          </w:p>
        </w:tc>
        <w:tc>
          <w:tcPr>
            <w:tcW w:w="0" w:type="auto"/>
            <w:vMerge/>
          </w:tcPr>
          <w:p w:rsidRPr="00CA3A5B" w:rsidR="00431AF1" w:rsidP="004B2D67" w:rsidRDefault="00431AF1" w14:paraId="02E22601" w14:textId="77777777">
            <w:pPr>
              <w:cnfStyle w:val="000000000000" w:firstRow="0" w:lastRow="0" w:firstColumn="0" w:lastColumn="0" w:oddVBand="0" w:evenVBand="0" w:oddHBand="0" w:evenHBand="0" w:firstRowFirstColumn="0" w:firstRowLastColumn="0" w:lastRowFirstColumn="0" w:lastRowLastColumn="0"/>
            </w:pPr>
          </w:p>
        </w:tc>
        <w:tc>
          <w:tcPr>
            <w:tcW w:w="0" w:type="auto"/>
            <w:vMerge/>
          </w:tcPr>
          <w:p w:rsidRPr="00CA3A5B" w:rsidR="00431AF1" w:rsidP="004B2D67" w:rsidRDefault="00431AF1" w14:paraId="2DBBC23F" w14:textId="77777777">
            <w:pPr>
              <w:cnfStyle w:val="000000000000" w:firstRow="0" w:lastRow="0" w:firstColumn="0" w:lastColumn="0" w:oddVBand="0" w:evenVBand="0" w:oddHBand="0" w:evenHBand="0" w:firstRowFirstColumn="0" w:firstRowLastColumn="0" w:lastRowFirstColumn="0" w:lastRowLastColumn="0"/>
            </w:pPr>
          </w:p>
        </w:tc>
      </w:tr>
      <w:tr w:rsidRPr="00CA3A5B" w:rsidR="00431AF1" w:rsidTr="00431AF1" w14:paraId="3CF7BF70" w14:textId="1717A3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Pr="00CA3A5B" w:rsidR="00431AF1" w:rsidP="004B2D67" w:rsidRDefault="00431AF1" w14:paraId="77D1DC63" w14:textId="2F2C9983">
            <w:pPr>
              <w:rPr>
                <w:b w:val="0"/>
                <w:bCs w:val="0"/>
                <w:lang w:val="en-US"/>
              </w:rPr>
            </w:pPr>
            <w:r w:rsidRPr="00CA3A5B">
              <w:rPr>
                <w:b w:val="0"/>
                <w:bCs w:val="0"/>
                <w:lang w:val="en-US"/>
              </w:rPr>
              <w:t xml:space="preserve">Assessment 3: Direct observation of practice </w:t>
            </w:r>
          </w:p>
        </w:tc>
        <w:tc>
          <w:tcPr>
            <w:tcW w:w="0" w:type="auto"/>
            <w:shd w:val="clear" w:color="auto" w:fill="auto"/>
          </w:tcPr>
          <w:p w:rsidRPr="00CA3A5B" w:rsidR="00431AF1" w:rsidP="004B2D67" w:rsidRDefault="00431AF1" w14:paraId="4900C0F8" w14:textId="1DCE2F76">
            <w:pPr>
              <w:cnfStyle w:val="000000100000" w:firstRow="0" w:lastRow="0" w:firstColumn="0" w:lastColumn="0" w:oddVBand="0" w:evenVBand="0" w:oddHBand="1" w:evenHBand="0" w:firstRowFirstColumn="0" w:firstRowLastColumn="0" w:lastRowFirstColumn="0" w:lastRowLastColumn="0"/>
              <w:rPr>
                <w:lang w:val="en-US"/>
              </w:rPr>
            </w:pPr>
            <w:r w:rsidRPr="00CA3A5B">
              <w:rPr>
                <w:lang w:val="en-US"/>
              </w:rPr>
              <w:t>Pass/fail</w:t>
            </w:r>
          </w:p>
        </w:tc>
        <w:tc>
          <w:tcPr>
            <w:tcW w:w="0" w:type="auto"/>
            <w:vMerge/>
          </w:tcPr>
          <w:p w:rsidRPr="00CA3A5B" w:rsidR="00431AF1" w:rsidP="004B2D67" w:rsidRDefault="00431AF1" w14:paraId="6802736E" w14:textId="77777777">
            <w:pPr>
              <w:cnfStyle w:val="000000100000" w:firstRow="0" w:lastRow="0" w:firstColumn="0" w:lastColumn="0" w:oddVBand="0" w:evenVBand="0" w:oddHBand="1" w:evenHBand="0" w:firstRowFirstColumn="0" w:firstRowLastColumn="0" w:lastRowFirstColumn="0" w:lastRowLastColumn="0"/>
            </w:pPr>
          </w:p>
        </w:tc>
        <w:tc>
          <w:tcPr>
            <w:tcW w:w="0" w:type="auto"/>
            <w:vMerge/>
          </w:tcPr>
          <w:p w:rsidRPr="00CA3A5B" w:rsidR="00431AF1" w:rsidP="004B2D67" w:rsidRDefault="00431AF1" w14:paraId="00EF3E47" w14:textId="77777777">
            <w:pPr>
              <w:cnfStyle w:val="000000100000" w:firstRow="0" w:lastRow="0" w:firstColumn="0" w:lastColumn="0" w:oddVBand="0" w:evenVBand="0" w:oddHBand="1" w:evenHBand="0" w:firstRowFirstColumn="0" w:firstRowLastColumn="0" w:lastRowFirstColumn="0" w:lastRowLastColumn="0"/>
            </w:pPr>
          </w:p>
        </w:tc>
      </w:tr>
    </w:tbl>
    <w:p w:rsidRPr="00CA3A5B" w:rsidR="00CB12AF" w:rsidP="00C231C7" w:rsidRDefault="00CB12AF" w14:paraId="523AB2B4" w14:textId="77777777">
      <w:pPr>
        <w:pStyle w:val="ListParagraph"/>
        <w:rPr>
          <w:b/>
          <w:bCs/>
        </w:rPr>
      </w:pPr>
    </w:p>
    <w:p w:rsidRPr="00CA3A5B" w:rsidR="00431AF1" w:rsidP="00431AF1" w:rsidRDefault="00431AF1" w14:paraId="4ADE90DE" w14:textId="3FA83A79">
      <w:pPr>
        <w:pStyle w:val="ListParagraph"/>
        <w:ind w:left="360"/>
        <w:jc w:val="both"/>
        <w:rPr>
          <w:b/>
          <w:bCs/>
        </w:rPr>
      </w:pPr>
      <w:r w:rsidRPr="00CA3A5B">
        <w:rPr>
          <w:b/>
          <w:bCs/>
        </w:rPr>
        <w:t xml:space="preserve">Figure 5: summative assessment strategy for a 30-credit practice placement module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884"/>
        <w:gridCol w:w="1156"/>
        <w:gridCol w:w="3165"/>
        <w:gridCol w:w="3145"/>
      </w:tblGrid>
      <w:tr w:rsidRPr="00CA3A5B" w:rsidR="00804FDE" w:rsidTr="00087747" w14:paraId="04264D3C" w14:textId="77777777">
        <w:trPr>
          <w:trHeight w:val="362"/>
        </w:trPr>
        <w:tc>
          <w:tcPr>
            <w:tcW w:w="0" w:type="auto"/>
            <w:tcBorders>
              <w:top w:val="single" w:color="auto" w:sz="4" w:space="0"/>
              <w:left w:val="single" w:color="auto" w:sz="4" w:space="0"/>
              <w:bottom w:val="single" w:color="auto" w:sz="4" w:space="0"/>
              <w:right w:val="single" w:color="auto" w:sz="4" w:space="0"/>
            </w:tcBorders>
            <w:shd w:val="clear" w:color="auto" w:fill="92D050"/>
          </w:tcPr>
          <w:p w:rsidRPr="00CA3A5B" w:rsidR="008A1849" w:rsidP="00087747" w:rsidRDefault="008A1849" w14:paraId="714D4683" w14:textId="0879AE35">
            <w:pPr>
              <w:spacing w:after="0" w:line="240" w:lineRule="auto"/>
              <w:rPr>
                <w:rFonts w:cstheme="minorHAnsi"/>
                <w:b/>
                <w:bCs/>
              </w:rPr>
            </w:pPr>
            <w:r w:rsidRPr="00CA3A5B">
              <w:rPr>
                <w:rFonts w:cstheme="minorHAnsi"/>
                <w:b/>
                <w:bCs/>
              </w:rPr>
              <w:t>Assessment</w:t>
            </w:r>
            <w:r w:rsidR="00804FDE">
              <w:rPr>
                <w:rFonts w:cstheme="minorHAnsi"/>
                <w:b/>
                <w:bCs/>
              </w:rPr>
              <w:t xml:space="preserve"> element</w:t>
            </w:r>
            <w:r w:rsidRPr="00CA3A5B">
              <w:rPr>
                <w:rFonts w:cstheme="minorHAnsi"/>
                <w:b/>
                <w:bCs/>
              </w:rPr>
              <w:t>s</w:t>
            </w:r>
          </w:p>
        </w:tc>
        <w:tc>
          <w:tcPr>
            <w:tcW w:w="0" w:type="auto"/>
            <w:tcBorders>
              <w:top w:val="single" w:color="auto" w:sz="4" w:space="0"/>
              <w:left w:val="single" w:color="auto" w:sz="4" w:space="0"/>
              <w:bottom w:val="single" w:color="auto" w:sz="4" w:space="0"/>
              <w:right w:val="single" w:color="auto" w:sz="4" w:space="0"/>
            </w:tcBorders>
            <w:shd w:val="clear" w:color="auto" w:fill="92D050"/>
          </w:tcPr>
          <w:p w:rsidRPr="00CA3A5B" w:rsidR="008A1849" w:rsidP="00087747" w:rsidRDefault="008A1849" w14:paraId="3C970441" w14:textId="77777777">
            <w:pPr>
              <w:spacing w:after="0" w:line="240" w:lineRule="auto"/>
              <w:rPr>
                <w:rFonts w:cstheme="minorHAnsi"/>
                <w:b/>
                <w:bCs/>
              </w:rPr>
            </w:pPr>
            <w:r w:rsidRPr="00CA3A5B">
              <w:rPr>
                <w:rFonts w:cstheme="minorHAnsi"/>
                <w:b/>
                <w:bCs/>
              </w:rPr>
              <w:t>Weighting</w:t>
            </w:r>
          </w:p>
        </w:tc>
        <w:tc>
          <w:tcPr>
            <w:tcW w:w="0" w:type="auto"/>
            <w:tcBorders>
              <w:top w:val="single" w:color="auto" w:sz="4" w:space="0"/>
              <w:left w:val="single" w:color="auto" w:sz="4" w:space="0"/>
              <w:bottom w:val="single" w:color="auto" w:sz="4" w:space="0"/>
              <w:right w:val="single" w:color="auto" w:sz="4" w:space="0"/>
            </w:tcBorders>
            <w:shd w:val="clear" w:color="auto" w:fill="92D050"/>
          </w:tcPr>
          <w:p w:rsidRPr="00CA3A5B" w:rsidR="008A1849" w:rsidP="00087747" w:rsidRDefault="008A1849" w14:paraId="088B046A" w14:textId="77777777">
            <w:pPr>
              <w:spacing w:after="0" w:line="240" w:lineRule="auto"/>
              <w:rPr>
                <w:rFonts w:cstheme="minorHAnsi"/>
                <w:b/>
                <w:bCs/>
              </w:rPr>
            </w:pPr>
            <w:r w:rsidRPr="00CA3A5B">
              <w:rPr>
                <w:rFonts w:cstheme="minorHAnsi"/>
                <w:b/>
                <w:bCs/>
              </w:rPr>
              <w:t>Achieving a pass</w:t>
            </w:r>
          </w:p>
        </w:tc>
        <w:tc>
          <w:tcPr>
            <w:tcW w:w="0" w:type="auto"/>
            <w:tcBorders>
              <w:left w:val="single" w:color="auto" w:sz="4" w:space="0"/>
              <w:right w:val="single" w:color="auto" w:sz="4" w:space="0"/>
            </w:tcBorders>
            <w:shd w:val="clear" w:color="auto" w:fill="92D050"/>
          </w:tcPr>
          <w:p w:rsidRPr="00CA3A5B" w:rsidR="008A1849" w:rsidP="00087747" w:rsidRDefault="008A1849" w14:paraId="5834FEF8" w14:textId="77777777">
            <w:pPr>
              <w:spacing w:after="0" w:line="240" w:lineRule="auto"/>
              <w:rPr>
                <w:rFonts w:cstheme="minorHAnsi"/>
                <w:b/>
                <w:bCs/>
              </w:rPr>
            </w:pPr>
            <w:r w:rsidRPr="00CA3A5B">
              <w:rPr>
                <w:rFonts w:cstheme="minorHAnsi"/>
                <w:b/>
                <w:bCs/>
              </w:rPr>
              <w:t>Deriving a mark for the module</w:t>
            </w:r>
          </w:p>
        </w:tc>
      </w:tr>
      <w:tr w:rsidRPr="00CA3A5B" w:rsidR="008A1849" w:rsidTr="00087747" w14:paraId="341F6B27" w14:textId="77777777">
        <w:trPr>
          <w:trHeight w:val="362"/>
        </w:trPr>
        <w:tc>
          <w:tcPr>
            <w:tcW w:w="0" w:type="auto"/>
            <w:tcBorders>
              <w:top w:val="single" w:color="auto" w:sz="4" w:space="0"/>
              <w:left w:val="single" w:color="auto" w:sz="4" w:space="0"/>
              <w:bottom w:val="single" w:color="auto" w:sz="4" w:space="0"/>
              <w:right w:val="single" w:color="auto" w:sz="4" w:space="0"/>
            </w:tcBorders>
          </w:tcPr>
          <w:p w:rsidRPr="00CA3A5B" w:rsidR="008A1849" w:rsidP="00087747" w:rsidRDefault="008A1849" w14:paraId="4C6DA1CE" w14:textId="77777777">
            <w:pPr>
              <w:spacing w:line="276" w:lineRule="auto"/>
              <w:ind w:right="22"/>
              <w:rPr>
                <w:rFonts w:cstheme="minorHAnsi"/>
              </w:rPr>
            </w:pPr>
            <w:r w:rsidRPr="00CA3A5B">
              <w:rPr>
                <w:rFonts w:cstheme="minorHAnsi"/>
              </w:rPr>
              <w:t xml:space="preserve">Portfolio </w:t>
            </w:r>
          </w:p>
        </w:tc>
        <w:tc>
          <w:tcPr>
            <w:tcW w:w="0" w:type="auto"/>
            <w:tcBorders>
              <w:top w:val="single" w:color="auto" w:sz="4" w:space="0"/>
              <w:left w:val="single" w:color="auto" w:sz="4" w:space="0"/>
              <w:bottom w:val="single" w:color="auto" w:sz="4" w:space="0"/>
              <w:right w:val="single" w:color="auto" w:sz="4" w:space="0"/>
            </w:tcBorders>
          </w:tcPr>
          <w:p w:rsidRPr="00CA3A5B" w:rsidR="008A1849" w:rsidP="00087747" w:rsidRDefault="008A1849" w14:paraId="24E53FB8" w14:textId="77777777">
            <w:pPr>
              <w:spacing w:after="0" w:line="240" w:lineRule="auto"/>
              <w:rPr>
                <w:rFonts w:cstheme="minorHAnsi"/>
              </w:rPr>
            </w:pPr>
            <w:r w:rsidRPr="00CA3A5B">
              <w:rPr>
                <w:rFonts w:cstheme="minorHAnsi"/>
                <w:lang w:val="en-GB"/>
              </w:rPr>
              <w:t>Pass/fail</w:t>
            </w:r>
          </w:p>
        </w:tc>
        <w:tc>
          <w:tcPr>
            <w:tcW w:w="0" w:type="auto"/>
            <w:vMerge w:val="restart"/>
            <w:tcBorders>
              <w:top w:val="single" w:color="auto" w:sz="4" w:space="0"/>
              <w:left w:val="single" w:color="auto" w:sz="4" w:space="0"/>
              <w:right w:val="single" w:color="auto" w:sz="4" w:space="0"/>
            </w:tcBorders>
          </w:tcPr>
          <w:p w:rsidRPr="00CA3A5B" w:rsidR="008A1849" w:rsidP="00087747" w:rsidRDefault="008A1849" w14:paraId="09CA2E32" w14:textId="77777777">
            <w:pPr>
              <w:spacing w:after="0" w:line="240" w:lineRule="auto"/>
              <w:rPr>
                <w:rFonts w:cstheme="minorHAnsi"/>
              </w:rPr>
            </w:pPr>
            <w:r w:rsidRPr="00CA3A5B">
              <w:rPr>
                <w:rFonts w:cstheme="minorHAnsi"/>
              </w:rPr>
              <w:t>It is a requirement that all elements of assessment must be passed</w:t>
            </w:r>
          </w:p>
        </w:tc>
        <w:tc>
          <w:tcPr>
            <w:tcW w:w="0" w:type="auto"/>
            <w:vMerge w:val="restart"/>
            <w:tcBorders>
              <w:left w:val="single" w:color="auto" w:sz="4" w:space="0"/>
              <w:right w:val="single" w:color="auto" w:sz="4" w:space="0"/>
            </w:tcBorders>
          </w:tcPr>
          <w:p w:rsidRPr="00CA3A5B" w:rsidR="00804FDE" w:rsidP="00087747" w:rsidRDefault="008A1849" w14:paraId="2C5AD80E" w14:textId="0C2BBC6E">
            <w:pPr>
              <w:spacing w:line="276" w:lineRule="auto"/>
              <w:ind w:right="22"/>
              <w:rPr>
                <w:rFonts w:cstheme="minorHAnsi"/>
              </w:rPr>
            </w:pPr>
            <w:r w:rsidRPr="00CA3A5B">
              <w:rPr>
                <w:rFonts w:cstheme="minorHAnsi"/>
              </w:rPr>
              <w:t>An overall mark is not derived for this module</w:t>
            </w:r>
            <w:r w:rsidR="00804FDE">
              <w:rPr>
                <w:rFonts w:cstheme="minorHAnsi"/>
              </w:rPr>
              <w:t xml:space="preserve">. It is graded as pass or fail. </w:t>
            </w:r>
          </w:p>
        </w:tc>
      </w:tr>
      <w:tr w:rsidRPr="00CA3A5B" w:rsidR="008A1849" w:rsidTr="00087747" w14:paraId="6440C722" w14:textId="77777777">
        <w:trPr>
          <w:trHeight w:val="362"/>
        </w:trPr>
        <w:tc>
          <w:tcPr>
            <w:tcW w:w="0" w:type="auto"/>
            <w:tcBorders>
              <w:top w:val="single" w:color="auto" w:sz="4" w:space="0"/>
              <w:left w:val="single" w:color="auto" w:sz="4" w:space="0"/>
              <w:bottom w:val="single" w:color="auto" w:sz="4" w:space="0"/>
              <w:right w:val="single" w:color="auto" w:sz="4" w:space="0"/>
            </w:tcBorders>
          </w:tcPr>
          <w:p w:rsidRPr="00CA3A5B" w:rsidR="008A1849" w:rsidP="00087747" w:rsidRDefault="008A1849" w14:paraId="345E7762" w14:textId="77777777">
            <w:pPr>
              <w:spacing w:line="276" w:lineRule="auto"/>
              <w:ind w:right="22"/>
              <w:rPr>
                <w:rFonts w:cstheme="minorHAnsi"/>
              </w:rPr>
            </w:pPr>
            <w:r w:rsidRPr="00CA3A5B">
              <w:rPr>
                <w:rFonts w:cstheme="minorHAnsi"/>
              </w:rPr>
              <w:lastRenderedPageBreak/>
              <w:t>Performance Assessment</w:t>
            </w:r>
          </w:p>
        </w:tc>
        <w:tc>
          <w:tcPr>
            <w:tcW w:w="0" w:type="auto"/>
            <w:tcBorders>
              <w:top w:val="single" w:color="auto" w:sz="4" w:space="0"/>
              <w:left w:val="single" w:color="auto" w:sz="4" w:space="0"/>
              <w:bottom w:val="single" w:color="auto" w:sz="4" w:space="0"/>
              <w:right w:val="single" w:color="auto" w:sz="4" w:space="0"/>
            </w:tcBorders>
          </w:tcPr>
          <w:p w:rsidRPr="00CA3A5B" w:rsidR="008A1849" w:rsidP="00087747" w:rsidRDefault="008A1849" w14:paraId="2716B7A1" w14:textId="77777777">
            <w:pPr>
              <w:spacing w:line="276" w:lineRule="auto"/>
              <w:ind w:right="22"/>
              <w:rPr>
                <w:rFonts w:cstheme="minorHAnsi"/>
              </w:rPr>
            </w:pPr>
            <w:r w:rsidRPr="00CA3A5B">
              <w:rPr>
                <w:rFonts w:cstheme="minorHAnsi"/>
              </w:rPr>
              <w:t>Pass/fail</w:t>
            </w:r>
          </w:p>
        </w:tc>
        <w:tc>
          <w:tcPr>
            <w:tcW w:w="0" w:type="auto"/>
            <w:vMerge/>
            <w:tcBorders>
              <w:left w:val="single" w:color="auto" w:sz="4" w:space="0"/>
              <w:right w:val="single" w:color="auto" w:sz="4" w:space="0"/>
            </w:tcBorders>
          </w:tcPr>
          <w:p w:rsidRPr="00CA3A5B" w:rsidR="008A1849" w:rsidP="00087747" w:rsidRDefault="008A1849" w14:paraId="2D8F6AD7" w14:textId="77777777">
            <w:pPr>
              <w:spacing w:line="276" w:lineRule="auto"/>
              <w:ind w:right="22"/>
              <w:rPr>
                <w:rFonts w:cstheme="minorHAnsi"/>
              </w:rPr>
            </w:pPr>
          </w:p>
        </w:tc>
        <w:tc>
          <w:tcPr>
            <w:tcW w:w="0" w:type="auto"/>
            <w:vMerge/>
            <w:tcBorders>
              <w:left w:val="single" w:color="auto" w:sz="4" w:space="0"/>
              <w:right w:val="single" w:color="auto" w:sz="4" w:space="0"/>
            </w:tcBorders>
          </w:tcPr>
          <w:p w:rsidRPr="00CA3A5B" w:rsidR="008A1849" w:rsidP="00087747" w:rsidRDefault="008A1849" w14:paraId="72027B4A" w14:textId="77777777">
            <w:pPr>
              <w:spacing w:line="276" w:lineRule="auto"/>
              <w:ind w:right="22"/>
              <w:rPr>
                <w:rFonts w:cstheme="minorHAnsi"/>
              </w:rPr>
            </w:pPr>
          </w:p>
        </w:tc>
      </w:tr>
      <w:tr w:rsidRPr="00CA3A5B" w:rsidR="008A1849" w:rsidTr="00087747" w14:paraId="73F7FF6E" w14:textId="77777777">
        <w:trPr>
          <w:trHeight w:val="362"/>
        </w:trPr>
        <w:tc>
          <w:tcPr>
            <w:tcW w:w="0" w:type="auto"/>
            <w:tcBorders>
              <w:top w:val="single" w:color="auto" w:sz="4" w:space="0"/>
              <w:left w:val="single" w:color="auto" w:sz="4" w:space="0"/>
              <w:bottom w:val="single" w:color="auto" w:sz="4" w:space="0"/>
              <w:right w:val="single" w:color="auto" w:sz="4" w:space="0"/>
            </w:tcBorders>
          </w:tcPr>
          <w:p w:rsidRPr="00CA3A5B" w:rsidR="008A1849" w:rsidP="00087747" w:rsidRDefault="008A1849" w14:paraId="242449EE" w14:textId="77777777">
            <w:pPr>
              <w:spacing w:line="276" w:lineRule="auto"/>
              <w:ind w:right="22"/>
              <w:rPr>
                <w:rFonts w:cstheme="minorHAnsi"/>
              </w:rPr>
            </w:pPr>
            <w:r w:rsidRPr="00CA3A5B">
              <w:rPr>
                <w:rFonts w:cstheme="minorHAnsi"/>
              </w:rPr>
              <w:t>Viva (20 mins)</w:t>
            </w:r>
          </w:p>
        </w:tc>
        <w:tc>
          <w:tcPr>
            <w:tcW w:w="0" w:type="auto"/>
            <w:tcBorders>
              <w:top w:val="single" w:color="auto" w:sz="4" w:space="0"/>
              <w:left w:val="single" w:color="auto" w:sz="4" w:space="0"/>
              <w:bottom w:val="single" w:color="auto" w:sz="4" w:space="0"/>
              <w:right w:val="single" w:color="auto" w:sz="4" w:space="0"/>
            </w:tcBorders>
          </w:tcPr>
          <w:p w:rsidRPr="00CA3A5B" w:rsidR="008A1849" w:rsidP="00087747" w:rsidRDefault="008A1849" w14:paraId="1F34FC7D" w14:textId="77777777">
            <w:pPr>
              <w:spacing w:line="276" w:lineRule="auto"/>
              <w:ind w:right="22"/>
              <w:rPr>
                <w:rFonts w:cstheme="minorHAnsi"/>
              </w:rPr>
            </w:pPr>
            <w:r w:rsidRPr="00CA3A5B">
              <w:rPr>
                <w:rFonts w:cstheme="minorHAnsi"/>
              </w:rPr>
              <w:t>Pass/fail</w:t>
            </w:r>
          </w:p>
        </w:tc>
        <w:tc>
          <w:tcPr>
            <w:tcW w:w="0" w:type="auto"/>
            <w:vMerge/>
            <w:tcBorders>
              <w:left w:val="single" w:color="auto" w:sz="4" w:space="0"/>
              <w:right w:val="single" w:color="auto" w:sz="4" w:space="0"/>
            </w:tcBorders>
          </w:tcPr>
          <w:p w:rsidRPr="00CA3A5B" w:rsidR="008A1849" w:rsidP="00087747" w:rsidRDefault="008A1849" w14:paraId="4EC716C2" w14:textId="77777777">
            <w:pPr>
              <w:spacing w:line="276" w:lineRule="auto"/>
              <w:ind w:right="22"/>
              <w:rPr>
                <w:rFonts w:cstheme="minorHAnsi"/>
              </w:rPr>
            </w:pPr>
          </w:p>
        </w:tc>
        <w:tc>
          <w:tcPr>
            <w:tcW w:w="0" w:type="auto"/>
            <w:vMerge/>
            <w:tcBorders>
              <w:left w:val="single" w:color="auto" w:sz="4" w:space="0"/>
              <w:right w:val="single" w:color="auto" w:sz="4" w:space="0"/>
            </w:tcBorders>
          </w:tcPr>
          <w:p w:rsidRPr="00CA3A5B" w:rsidR="008A1849" w:rsidP="00087747" w:rsidRDefault="008A1849" w14:paraId="46C0F807" w14:textId="77777777">
            <w:pPr>
              <w:spacing w:line="276" w:lineRule="auto"/>
              <w:ind w:right="22"/>
              <w:rPr>
                <w:rFonts w:cstheme="minorHAnsi"/>
              </w:rPr>
            </w:pPr>
          </w:p>
        </w:tc>
      </w:tr>
      <w:tr w:rsidRPr="00B028B6" w:rsidR="008A1849" w:rsidTr="00087747" w14:paraId="16F6166D" w14:textId="77777777">
        <w:trPr>
          <w:trHeight w:val="362"/>
        </w:trPr>
        <w:tc>
          <w:tcPr>
            <w:tcW w:w="0" w:type="auto"/>
            <w:tcBorders>
              <w:top w:val="single" w:color="auto" w:sz="4" w:space="0"/>
              <w:left w:val="single" w:color="auto" w:sz="4" w:space="0"/>
              <w:bottom w:val="single" w:color="auto" w:sz="4" w:space="0"/>
              <w:right w:val="single" w:color="auto" w:sz="4" w:space="0"/>
            </w:tcBorders>
          </w:tcPr>
          <w:p w:rsidRPr="00CA3A5B" w:rsidR="008A1849" w:rsidP="00087747" w:rsidRDefault="008A1849" w14:paraId="0C0F0577" w14:textId="77777777">
            <w:pPr>
              <w:spacing w:line="276" w:lineRule="auto"/>
              <w:ind w:right="22"/>
              <w:rPr>
                <w:rFonts w:cstheme="minorHAnsi"/>
              </w:rPr>
            </w:pPr>
            <w:r w:rsidRPr="00CA3A5B">
              <w:rPr>
                <w:rFonts w:cstheme="minorHAnsi"/>
              </w:rPr>
              <w:t>Level 6 Competencies</w:t>
            </w:r>
          </w:p>
        </w:tc>
        <w:tc>
          <w:tcPr>
            <w:tcW w:w="0" w:type="auto"/>
            <w:tcBorders>
              <w:top w:val="single" w:color="auto" w:sz="4" w:space="0"/>
              <w:left w:val="single" w:color="auto" w:sz="4" w:space="0"/>
              <w:bottom w:val="single" w:color="auto" w:sz="4" w:space="0"/>
              <w:right w:val="single" w:color="auto" w:sz="4" w:space="0"/>
            </w:tcBorders>
          </w:tcPr>
          <w:p w:rsidRPr="00B028B6" w:rsidR="008A1849" w:rsidP="00087747" w:rsidRDefault="008A1849" w14:paraId="37516C4A" w14:textId="77777777">
            <w:pPr>
              <w:spacing w:line="276" w:lineRule="auto"/>
              <w:ind w:right="22"/>
              <w:rPr>
                <w:rFonts w:cstheme="minorHAnsi"/>
              </w:rPr>
            </w:pPr>
            <w:r w:rsidRPr="00CA3A5B">
              <w:rPr>
                <w:rFonts w:cstheme="minorHAnsi"/>
              </w:rPr>
              <w:t>Pass/fail</w:t>
            </w:r>
          </w:p>
        </w:tc>
        <w:tc>
          <w:tcPr>
            <w:tcW w:w="0" w:type="auto"/>
            <w:vMerge/>
            <w:tcBorders>
              <w:left w:val="single" w:color="auto" w:sz="4" w:space="0"/>
              <w:bottom w:val="single" w:color="auto" w:sz="4" w:space="0"/>
              <w:right w:val="single" w:color="auto" w:sz="4" w:space="0"/>
            </w:tcBorders>
          </w:tcPr>
          <w:p w:rsidRPr="00B028B6" w:rsidR="008A1849" w:rsidP="00087747" w:rsidRDefault="008A1849" w14:paraId="49B4265A" w14:textId="77777777">
            <w:pPr>
              <w:spacing w:line="276" w:lineRule="auto"/>
              <w:ind w:right="22"/>
              <w:rPr>
                <w:rFonts w:cstheme="minorHAnsi"/>
              </w:rPr>
            </w:pPr>
          </w:p>
        </w:tc>
        <w:tc>
          <w:tcPr>
            <w:tcW w:w="0" w:type="auto"/>
            <w:vMerge/>
            <w:tcBorders>
              <w:left w:val="single" w:color="auto" w:sz="4" w:space="0"/>
              <w:bottom w:val="single" w:color="auto" w:sz="4" w:space="0"/>
              <w:right w:val="single" w:color="auto" w:sz="4" w:space="0"/>
            </w:tcBorders>
          </w:tcPr>
          <w:p w:rsidRPr="00B028B6" w:rsidR="008A1849" w:rsidP="00087747" w:rsidRDefault="008A1849" w14:paraId="1F3031E0" w14:textId="77777777">
            <w:pPr>
              <w:spacing w:line="276" w:lineRule="auto"/>
              <w:ind w:right="22"/>
              <w:rPr>
                <w:rFonts w:cstheme="minorHAnsi"/>
              </w:rPr>
            </w:pPr>
          </w:p>
        </w:tc>
      </w:tr>
    </w:tbl>
    <w:p w:rsidR="00DD1BC7" w:rsidP="00C231C7" w:rsidRDefault="00DD1BC7" w14:paraId="4B8033B3" w14:textId="77777777">
      <w:pPr>
        <w:pStyle w:val="ListParagraph"/>
        <w:rPr>
          <w:b/>
          <w:bCs/>
        </w:rPr>
      </w:pPr>
    </w:p>
    <w:p w:rsidRPr="00303ACA" w:rsidR="00303ACA" w:rsidP="00303ACA" w:rsidRDefault="00303ACA" w14:paraId="6A29DE83" w14:textId="53EA8F48">
      <w:pPr>
        <w:pStyle w:val="ListParagraph"/>
        <w:pBdr>
          <w:top w:val="single" w:color="auto" w:sz="4" w:space="1"/>
          <w:left w:val="single" w:color="auto" w:sz="4" w:space="4"/>
          <w:bottom w:val="single" w:color="auto" w:sz="4" w:space="1"/>
          <w:right w:val="single" w:color="auto" w:sz="4" w:space="4"/>
        </w:pBdr>
        <w:shd w:val="clear" w:color="auto" w:fill="E2EFD9" w:themeFill="accent6" w:themeFillTint="33"/>
      </w:pPr>
      <w:r w:rsidRPr="00303ACA">
        <w:t xml:space="preserve">The purpose of the provision in this framework </w:t>
      </w:r>
      <w:r w:rsidR="00ED6523">
        <w:t>that requires</w:t>
      </w:r>
      <w:r w:rsidRPr="00303ACA">
        <w:t xml:space="preserve"> practice-based modules and “theory and practice” modules to be graded rather than marked </w:t>
      </w:r>
      <w:r w:rsidR="00ED6523">
        <w:t xml:space="preserve">is </w:t>
      </w:r>
      <w:r w:rsidRPr="00303ACA">
        <w:t xml:space="preserve">to prevent these modules from having a disproportionate </w:t>
      </w:r>
      <w:r w:rsidR="00ED6523">
        <w:t xml:space="preserve">upward </w:t>
      </w:r>
      <w:r w:rsidRPr="00303ACA">
        <w:t xml:space="preserve">effect on the proportion of good degree conferred by a particular programme. This provision is to a certain extent aspirational. Programme teams may mark these modules if there is evidence from previous iterations of comparable modules, that modules of this kind are not “inflationary”. </w:t>
      </w:r>
    </w:p>
    <w:p w:rsidRPr="00C231C7" w:rsidR="00814069" w:rsidP="00C231C7" w:rsidRDefault="004A40B3" w14:paraId="4138C316" w14:textId="74D91334">
      <w:pPr>
        <w:jc w:val="both"/>
        <w:rPr>
          <w:b/>
          <w:bCs/>
        </w:rPr>
      </w:pPr>
      <w:r w:rsidRPr="00C231C7">
        <w:rPr>
          <w:b/>
          <w:bCs/>
        </w:rPr>
        <w:t>Exclusions from the framework</w:t>
      </w:r>
    </w:p>
    <w:p w:rsidR="004A40B3" w:rsidP="002457B9" w:rsidRDefault="00814069" w14:paraId="458DA2CB" w14:textId="180684CB">
      <w:pPr>
        <w:pStyle w:val="ListParagraph"/>
        <w:numPr>
          <w:ilvl w:val="0"/>
          <w:numId w:val="12"/>
        </w:numPr>
        <w:rPr>
          <w:rFonts w:cstheme="minorHAnsi"/>
        </w:rPr>
      </w:pPr>
      <w:r w:rsidRPr="002457B9">
        <w:rPr>
          <w:rFonts w:cstheme="minorHAnsi"/>
        </w:rPr>
        <w:t>A</w:t>
      </w:r>
      <w:r w:rsidRPr="002457B9" w:rsidR="004A40B3">
        <w:rPr>
          <w:rFonts w:cstheme="minorHAnsi"/>
        </w:rPr>
        <w:t xml:space="preserve">ctivities may be excluded from the framework if (i) they do not have a credit-rating whereby the credit counts towards the award and (ii) they do not amount to an additional burden for students. The Professional Training Year which is undertaken between years 2 and 3 of the Biomedical Science programme does not therefore amount to an additional burden for students and is therefore excluded. </w:t>
      </w:r>
    </w:p>
    <w:p w:rsidRPr="002457B9" w:rsidR="002457B9" w:rsidP="002457B9" w:rsidRDefault="002457B9" w14:paraId="4D210EA7" w14:textId="77777777">
      <w:pPr>
        <w:pStyle w:val="ListParagraph"/>
        <w:ind w:left="360"/>
        <w:rPr>
          <w:rFonts w:cstheme="minorHAnsi"/>
        </w:rPr>
      </w:pPr>
    </w:p>
    <w:p w:rsidRPr="00CA3A5B" w:rsidR="0039224D" w:rsidP="002457B9" w:rsidRDefault="004A40B3" w14:paraId="2AB07D9B" w14:textId="0C94FE84">
      <w:pPr>
        <w:pStyle w:val="ListParagraph"/>
        <w:numPr>
          <w:ilvl w:val="0"/>
          <w:numId w:val="12"/>
        </w:numPr>
        <w:rPr>
          <w:rFonts w:cstheme="minorHAnsi"/>
        </w:rPr>
      </w:pPr>
      <w:r w:rsidRPr="00CA3A5B">
        <w:rPr>
          <w:rFonts w:cstheme="minorHAnsi"/>
        </w:rPr>
        <w:t xml:space="preserve">The open spaces modules are included in the framework. </w:t>
      </w:r>
      <w:r w:rsidRPr="00CA3A5B" w:rsidR="0095245B">
        <w:rPr>
          <w:rFonts w:cstheme="minorHAnsi"/>
        </w:rPr>
        <w:t xml:space="preserve">The </w:t>
      </w:r>
      <w:r w:rsidRPr="00CA3A5B">
        <w:rPr>
          <w:rFonts w:cstheme="minorHAnsi"/>
        </w:rPr>
        <w:t xml:space="preserve">modules are credit-rated and </w:t>
      </w:r>
      <w:r w:rsidRPr="00CA3A5B" w:rsidR="003C6A81">
        <w:rPr>
          <w:rFonts w:cstheme="minorHAnsi"/>
        </w:rPr>
        <w:t xml:space="preserve">will normally be </w:t>
      </w:r>
      <w:r w:rsidRPr="00CA3A5B">
        <w:rPr>
          <w:rFonts w:cstheme="minorHAnsi"/>
        </w:rPr>
        <w:t xml:space="preserve">taken by students </w:t>
      </w:r>
      <w:r w:rsidRPr="00CA3A5B" w:rsidR="003C6A81">
        <w:rPr>
          <w:rFonts w:cstheme="minorHAnsi"/>
        </w:rPr>
        <w:t xml:space="preserve">as open </w:t>
      </w:r>
      <w:r w:rsidRPr="00CA3A5B">
        <w:rPr>
          <w:rFonts w:cstheme="minorHAnsi"/>
        </w:rPr>
        <w:t xml:space="preserve">modules. </w:t>
      </w:r>
      <w:r w:rsidRPr="00CA3A5B" w:rsidR="00724E09">
        <w:rPr>
          <w:rFonts w:cstheme="minorHAnsi"/>
        </w:rPr>
        <w:t>For programmes that are not credit-rated</w:t>
      </w:r>
      <w:r w:rsidRPr="00CA3A5B" w:rsidR="0095245B">
        <w:rPr>
          <w:rFonts w:cstheme="minorHAnsi"/>
        </w:rPr>
        <w:t>, they may be taken as extracurricular modules. Extracurricular modules are credit-rated and taken by students in addition to their course.</w:t>
      </w:r>
    </w:p>
    <w:p w:rsidRPr="00CA3A5B" w:rsidR="000E4E2E" w:rsidP="000E4E2E" w:rsidRDefault="000E4E2E" w14:paraId="54BB6B51" w14:textId="77777777">
      <w:pPr>
        <w:jc w:val="both"/>
        <w:rPr>
          <w:rFonts w:eastAsia="Franklin Gothic Book" w:cstheme="minorHAnsi"/>
          <w:b/>
          <w:bCs/>
        </w:rPr>
      </w:pPr>
      <w:r w:rsidRPr="00CA3A5B">
        <w:rPr>
          <w:rFonts w:eastAsia="Franklin Gothic Book" w:cstheme="minorHAnsi"/>
          <w:b/>
          <w:bCs/>
        </w:rPr>
        <w:t xml:space="preserve">Variations and derogations from the Framework </w:t>
      </w:r>
    </w:p>
    <w:p w:rsidRPr="00CA3A5B" w:rsidR="000E4E2E" w:rsidP="002457B9" w:rsidRDefault="000E4E2E" w14:paraId="3510D4D9" w14:textId="77777777">
      <w:pPr>
        <w:pStyle w:val="ListParagraph"/>
        <w:numPr>
          <w:ilvl w:val="0"/>
          <w:numId w:val="12"/>
        </w:numPr>
        <w:rPr>
          <w:rFonts w:eastAsia="Franklin Gothic Book" w:cstheme="minorHAnsi"/>
        </w:rPr>
      </w:pPr>
      <w:r w:rsidRPr="00CA3A5B">
        <w:rPr>
          <w:rFonts w:eastAsia="Franklin Gothic Book" w:cstheme="minorHAnsi"/>
        </w:rPr>
        <w:t xml:space="preserve">If course </w:t>
      </w:r>
      <w:r w:rsidRPr="00CA3A5B">
        <w:rPr>
          <w:rFonts w:cstheme="minorHAnsi"/>
        </w:rPr>
        <w:t>planners</w:t>
      </w:r>
      <w:r w:rsidRPr="00CA3A5B">
        <w:rPr>
          <w:rFonts w:eastAsia="Franklin Gothic Book" w:cstheme="minorHAnsi"/>
        </w:rPr>
        <w:t xml:space="preserve"> request a variation or a derogation from the Common Modular Framework, it is proposed that these requests are considered by a subgroup of QAEC comprising:</w:t>
      </w:r>
    </w:p>
    <w:p w:rsidRPr="00CA3A5B" w:rsidR="000E4E2E" w:rsidP="000E4E2E" w:rsidRDefault="000E4E2E" w14:paraId="61C25B2D" w14:textId="77777777">
      <w:pPr>
        <w:pStyle w:val="ListParagraph"/>
        <w:numPr>
          <w:ilvl w:val="1"/>
          <w:numId w:val="11"/>
        </w:numPr>
        <w:jc w:val="both"/>
        <w:rPr>
          <w:rFonts w:eastAsia="Franklin Gothic Book" w:cstheme="minorHAnsi"/>
        </w:rPr>
      </w:pPr>
      <w:r w:rsidRPr="00CA3A5B">
        <w:rPr>
          <w:rFonts w:eastAsia="Franklin Gothic Book" w:cstheme="minorHAnsi"/>
        </w:rPr>
        <w:t>The Chair of QAEC</w:t>
      </w:r>
    </w:p>
    <w:p w:rsidRPr="00CA3A5B" w:rsidR="000E4E2E" w:rsidP="000E4E2E" w:rsidRDefault="000E4E2E" w14:paraId="7830BF16" w14:textId="77777777">
      <w:pPr>
        <w:pStyle w:val="ListParagraph"/>
        <w:numPr>
          <w:ilvl w:val="1"/>
          <w:numId w:val="11"/>
        </w:numPr>
        <w:jc w:val="both"/>
        <w:rPr>
          <w:rFonts w:eastAsia="Franklin Gothic Book" w:cstheme="minorHAnsi"/>
        </w:rPr>
      </w:pPr>
      <w:r w:rsidRPr="00CA3A5B">
        <w:rPr>
          <w:rFonts w:eastAsia="Franklin Gothic Book" w:cstheme="minorHAnsi"/>
        </w:rPr>
        <w:t>The Deputy Vice-Chancellor (Education)</w:t>
      </w:r>
    </w:p>
    <w:p w:rsidRPr="00CA3A5B" w:rsidR="000E4E2E" w:rsidP="000E4E2E" w:rsidRDefault="000E4E2E" w14:paraId="011FA4DC" w14:textId="77777777">
      <w:pPr>
        <w:pStyle w:val="ListParagraph"/>
        <w:numPr>
          <w:ilvl w:val="1"/>
          <w:numId w:val="11"/>
        </w:numPr>
        <w:jc w:val="both"/>
        <w:rPr>
          <w:rFonts w:eastAsia="Franklin Gothic Book" w:cstheme="minorHAnsi"/>
        </w:rPr>
      </w:pPr>
      <w:r w:rsidRPr="00CA3A5B">
        <w:rPr>
          <w:rFonts w:eastAsia="Franklin Gothic Book" w:cstheme="minorHAnsi"/>
        </w:rPr>
        <w:t>The Head of Centre for Innovation and Development in Education</w:t>
      </w:r>
    </w:p>
    <w:p w:rsidRPr="00CA3A5B" w:rsidR="000E4E2E" w:rsidP="000E4E2E" w:rsidRDefault="000E4E2E" w14:paraId="360434C2" w14:textId="77777777">
      <w:pPr>
        <w:pStyle w:val="ListParagraph"/>
        <w:numPr>
          <w:ilvl w:val="1"/>
          <w:numId w:val="11"/>
        </w:numPr>
        <w:jc w:val="both"/>
        <w:rPr>
          <w:rFonts w:eastAsia="Franklin Gothic Book" w:cstheme="minorHAnsi"/>
        </w:rPr>
      </w:pPr>
      <w:r w:rsidRPr="00CA3A5B">
        <w:rPr>
          <w:rFonts w:eastAsia="Franklin Gothic Book" w:cstheme="minorHAnsi"/>
        </w:rPr>
        <w:t>Director of Quality and Partnerships</w:t>
      </w:r>
    </w:p>
    <w:p w:rsidRPr="00CA3A5B" w:rsidR="000E4E2E" w:rsidP="000E4E2E" w:rsidRDefault="000E4E2E" w14:paraId="5A68D017" w14:textId="77777777">
      <w:pPr>
        <w:pStyle w:val="ListParagraph"/>
        <w:ind w:left="1080"/>
        <w:jc w:val="both"/>
        <w:rPr>
          <w:rFonts w:eastAsia="Franklin Gothic Book" w:cstheme="minorHAnsi"/>
        </w:rPr>
      </w:pPr>
    </w:p>
    <w:p w:rsidRPr="00CA3A5B" w:rsidR="000E4E2E" w:rsidP="002457B9" w:rsidRDefault="000E4E2E" w14:paraId="0203F0F4" w14:textId="77777777">
      <w:pPr>
        <w:pStyle w:val="ListParagraph"/>
        <w:numPr>
          <w:ilvl w:val="0"/>
          <w:numId w:val="12"/>
        </w:numPr>
        <w:rPr>
          <w:rFonts w:eastAsia="Franklin Gothic Book" w:cstheme="minorHAnsi"/>
        </w:rPr>
      </w:pPr>
      <w:r w:rsidRPr="00CA3A5B">
        <w:rPr>
          <w:rFonts w:eastAsia="Franklin Gothic Book" w:cstheme="minorHAnsi"/>
        </w:rPr>
        <w:t xml:space="preserve">The subgroup of QAEC will also have the authority to update the Framework. </w:t>
      </w:r>
    </w:p>
    <w:p w:rsidRPr="00897D55" w:rsidR="000E4E2E" w:rsidP="000E4E2E" w:rsidRDefault="000E4E2E" w14:paraId="6C3F7803" w14:textId="77777777">
      <w:pPr>
        <w:pStyle w:val="ListParagraph"/>
        <w:ind w:left="1080"/>
        <w:jc w:val="both"/>
        <w:rPr>
          <w:rFonts w:ascii="Franklin Gothic Book" w:hAnsi="Franklin Gothic Book" w:eastAsia="Franklin Gothic Book" w:cs="Franklin Gothic Book"/>
        </w:rPr>
      </w:pPr>
    </w:p>
    <w:p w:rsidRPr="00911182" w:rsidR="00911182" w:rsidP="00911182" w:rsidRDefault="002457B9" w14:paraId="46D8348B" w14:textId="38DA1D02">
      <w:pPr>
        <w:jc w:val="right"/>
        <w:rPr>
          <w:i/>
          <w:iCs/>
          <w:sz w:val="20"/>
          <w:szCs w:val="20"/>
        </w:rPr>
      </w:pPr>
      <w:r w:rsidRPr="00911182">
        <w:rPr>
          <w:i/>
          <w:iCs/>
          <w:sz w:val="20"/>
          <w:szCs w:val="20"/>
        </w:rPr>
        <w:t>DB/</w:t>
      </w:r>
      <w:r w:rsidRPr="00911182" w:rsidR="00911182">
        <w:rPr>
          <w:i/>
          <w:iCs/>
          <w:sz w:val="20"/>
          <w:szCs w:val="20"/>
        </w:rPr>
        <w:t>January 2024 V5.2</w:t>
      </w:r>
    </w:p>
    <w:p w:rsidR="002457B9" w:rsidRDefault="002457B9" w14:paraId="1289B743" w14:textId="77777777">
      <w:pPr>
        <w:rPr>
          <w:rFonts w:eastAsia="Times New Roman" w:cs="Arial"/>
          <w:b/>
          <w:lang w:eastAsia="en-GB"/>
        </w:rPr>
      </w:pPr>
      <w:r>
        <w:rPr>
          <w:rFonts w:eastAsia="Times New Roman" w:cs="Arial"/>
          <w:b/>
          <w:lang w:eastAsia="en-GB"/>
        </w:rPr>
        <w:br w:type="page"/>
      </w:r>
    </w:p>
    <w:p w:rsidR="0039224D" w:rsidP="0039224D" w:rsidRDefault="0039224D" w14:paraId="63632A9C" w14:textId="7B7354D0">
      <w:pPr>
        <w:spacing w:after="0" w:line="240" w:lineRule="auto"/>
        <w:rPr>
          <w:rFonts w:eastAsia="Times New Roman" w:cs="Arial"/>
          <w:b/>
          <w:lang w:eastAsia="en-GB"/>
        </w:rPr>
      </w:pPr>
      <w:r>
        <w:rPr>
          <w:rFonts w:eastAsia="Times New Roman" w:cs="Arial"/>
          <w:b/>
          <w:lang w:eastAsia="en-GB"/>
        </w:rPr>
        <w:lastRenderedPageBreak/>
        <w:t>Appendix A Credit values for programmes that lead to SGUL awards</w:t>
      </w:r>
    </w:p>
    <w:p w:rsidR="0039224D" w:rsidP="0039224D" w:rsidRDefault="0039224D" w14:paraId="6E667D2F" w14:textId="77777777">
      <w:pPr>
        <w:spacing w:after="0" w:line="240" w:lineRule="auto"/>
        <w:rPr>
          <w:rFonts w:eastAsia="Times New Roman" w:cs="Arial"/>
          <w:lang w:eastAsia="en-GB"/>
        </w:rPr>
      </w:pPr>
    </w:p>
    <w:tbl>
      <w:tblPr>
        <w:tblStyle w:val="TableGrid"/>
        <w:tblW w:w="0" w:type="auto"/>
        <w:tblLook w:val="04A0" w:firstRow="1" w:lastRow="0" w:firstColumn="1" w:lastColumn="0" w:noHBand="0" w:noVBand="1"/>
      </w:tblPr>
      <w:tblGrid>
        <w:gridCol w:w="2802"/>
        <w:gridCol w:w="1275"/>
        <w:gridCol w:w="2552"/>
        <w:gridCol w:w="2551"/>
      </w:tblGrid>
      <w:tr w:rsidR="0039224D" w:rsidTr="001F0115" w14:paraId="36E282AF" w14:textId="77777777">
        <w:tc>
          <w:tcPr>
            <w:tcW w:w="2802" w:type="dxa"/>
            <w:tcBorders>
              <w:top w:val="single" w:color="auto" w:sz="4" w:space="0"/>
              <w:left w:val="single" w:color="auto" w:sz="4" w:space="0"/>
              <w:bottom w:val="single" w:color="auto" w:sz="4" w:space="0"/>
              <w:right w:val="single" w:color="auto" w:sz="4" w:space="0"/>
            </w:tcBorders>
            <w:hideMark/>
          </w:tcPr>
          <w:p w:rsidR="0039224D" w:rsidP="001F0115" w:rsidRDefault="0039224D" w14:paraId="6CDD5E18" w14:textId="77777777">
            <w:pPr>
              <w:rPr>
                <w:rFonts w:eastAsia="Times New Roman" w:cs="Arial"/>
                <w:b/>
                <w:lang w:eastAsia="en-GB"/>
              </w:rPr>
            </w:pPr>
            <w:r>
              <w:rPr>
                <w:rFonts w:eastAsia="Times New Roman" w:cs="Arial"/>
                <w:b/>
                <w:lang w:eastAsia="en-GB"/>
              </w:rPr>
              <w:t>Qualification</w:t>
            </w:r>
          </w:p>
        </w:tc>
        <w:tc>
          <w:tcPr>
            <w:tcW w:w="1275" w:type="dxa"/>
            <w:tcBorders>
              <w:top w:val="single" w:color="auto" w:sz="4" w:space="0"/>
              <w:left w:val="single" w:color="auto" w:sz="4" w:space="0"/>
              <w:bottom w:val="single" w:color="auto" w:sz="4" w:space="0"/>
              <w:right w:val="single" w:color="auto" w:sz="4" w:space="0"/>
            </w:tcBorders>
            <w:hideMark/>
          </w:tcPr>
          <w:p w:rsidR="0039224D" w:rsidP="001F0115" w:rsidRDefault="0039224D" w14:paraId="036FBFD3" w14:textId="77777777">
            <w:pPr>
              <w:rPr>
                <w:rFonts w:eastAsia="Times New Roman" w:cs="Arial"/>
                <w:b/>
                <w:lang w:eastAsia="en-GB"/>
              </w:rPr>
            </w:pPr>
            <w:r>
              <w:rPr>
                <w:rFonts w:eastAsia="Times New Roman" w:cs="Arial"/>
                <w:b/>
                <w:lang w:eastAsia="en-GB"/>
              </w:rPr>
              <w:t>FHEQ level</w:t>
            </w:r>
            <w:r>
              <w:rPr>
                <w:rStyle w:val="FootnoteReference"/>
                <w:rFonts w:eastAsia="Times New Roman" w:cs="Arial"/>
                <w:b/>
                <w:lang w:eastAsia="en-GB"/>
              </w:rPr>
              <w:footnoteReference w:id="2"/>
            </w:r>
          </w:p>
        </w:tc>
        <w:tc>
          <w:tcPr>
            <w:tcW w:w="2552" w:type="dxa"/>
            <w:tcBorders>
              <w:top w:val="single" w:color="auto" w:sz="4" w:space="0"/>
              <w:left w:val="single" w:color="auto" w:sz="4" w:space="0"/>
              <w:bottom w:val="single" w:color="auto" w:sz="4" w:space="0"/>
              <w:right w:val="single" w:color="auto" w:sz="4" w:space="0"/>
            </w:tcBorders>
            <w:hideMark/>
          </w:tcPr>
          <w:p w:rsidR="0039224D" w:rsidP="001F0115" w:rsidRDefault="0039224D" w14:paraId="711EB3ED" w14:textId="77777777">
            <w:pPr>
              <w:rPr>
                <w:rFonts w:eastAsia="Times New Roman" w:cs="Arial"/>
                <w:b/>
                <w:lang w:eastAsia="en-GB"/>
              </w:rPr>
            </w:pPr>
            <w:r>
              <w:rPr>
                <w:rFonts w:eastAsia="Times New Roman" w:cs="Arial"/>
                <w:b/>
                <w:lang w:eastAsia="en-GB"/>
              </w:rPr>
              <w:t>Minimum credits</w:t>
            </w:r>
          </w:p>
        </w:tc>
        <w:tc>
          <w:tcPr>
            <w:tcW w:w="2551" w:type="dxa"/>
            <w:tcBorders>
              <w:top w:val="single" w:color="auto" w:sz="4" w:space="0"/>
              <w:left w:val="single" w:color="auto" w:sz="4" w:space="0"/>
              <w:bottom w:val="single" w:color="auto" w:sz="4" w:space="0"/>
              <w:right w:val="single" w:color="auto" w:sz="4" w:space="0"/>
            </w:tcBorders>
            <w:hideMark/>
          </w:tcPr>
          <w:p w:rsidR="0039224D" w:rsidP="001F0115" w:rsidRDefault="0039224D" w14:paraId="41E986BB" w14:textId="77777777">
            <w:pPr>
              <w:rPr>
                <w:rFonts w:eastAsia="Times New Roman" w:cs="Arial"/>
                <w:b/>
                <w:lang w:eastAsia="en-GB"/>
              </w:rPr>
            </w:pPr>
            <w:r>
              <w:rPr>
                <w:rFonts w:eastAsia="Times New Roman" w:cs="Arial"/>
                <w:b/>
                <w:lang w:eastAsia="en-GB"/>
              </w:rPr>
              <w:t xml:space="preserve">Minimum credits at the level of the qualification </w:t>
            </w:r>
          </w:p>
        </w:tc>
      </w:tr>
      <w:tr w:rsidR="0039224D" w:rsidTr="001F0115" w14:paraId="54ABEF28" w14:textId="77777777">
        <w:tc>
          <w:tcPr>
            <w:tcW w:w="2802" w:type="dxa"/>
            <w:tcBorders>
              <w:top w:val="single" w:color="auto" w:sz="4" w:space="0"/>
              <w:left w:val="single" w:color="auto" w:sz="4" w:space="0"/>
              <w:bottom w:val="single" w:color="auto" w:sz="4" w:space="0"/>
              <w:right w:val="single" w:color="auto" w:sz="4" w:space="0"/>
            </w:tcBorders>
            <w:hideMark/>
          </w:tcPr>
          <w:p w:rsidR="0039224D" w:rsidP="001F0115" w:rsidRDefault="0039224D" w14:paraId="2ABC49BE" w14:textId="77777777">
            <w:pPr>
              <w:rPr>
                <w:rFonts w:eastAsia="Times New Roman" w:cs="Arial"/>
                <w:lang w:eastAsia="en-GB"/>
              </w:rPr>
            </w:pPr>
            <w:r>
              <w:rPr>
                <w:rFonts w:eastAsia="Times New Roman" w:cs="Arial"/>
                <w:lang w:eastAsia="en-GB"/>
              </w:rPr>
              <w:t>PhD, MD(Res)</w:t>
            </w:r>
          </w:p>
        </w:tc>
        <w:tc>
          <w:tcPr>
            <w:tcW w:w="1275" w:type="dxa"/>
            <w:tcBorders>
              <w:top w:val="single" w:color="auto" w:sz="4" w:space="0"/>
              <w:left w:val="single" w:color="auto" w:sz="4" w:space="0"/>
              <w:bottom w:val="single" w:color="auto" w:sz="4" w:space="0"/>
              <w:right w:val="single" w:color="auto" w:sz="4" w:space="0"/>
            </w:tcBorders>
            <w:hideMark/>
          </w:tcPr>
          <w:p w:rsidR="0039224D" w:rsidP="001F0115" w:rsidRDefault="0039224D" w14:paraId="1465D385" w14:textId="77777777">
            <w:pPr>
              <w:rPr>
                <w:rFonts w:eastAsia="Times New Roman" w:cs="Arial"/>
                <w:lang w:eastAsia="en-GB"/>
              </w:rPr>
            </w:pPr>
            <w:r>
              <w:rPr>
                <w:rFonts w:eastAsia="Times New Roman" w:cs="Arial"/>
                <w:lang w:eastAsia="en-GB"/>
              </w:rPr>
              <w:t>8</w:t>
            </w:r>
          </w:p>
        </w:tc>
        <w:tc>
          <w:tcPr>
            <w:tcW w:w="2552" w:type="dxa"/>
            <w:tcBorders>
              <w:top w:val="single" w:color="auto" w:sz="4" w:space="0"/>
              <w:left w:val="single" w:color="auto" w:sz="4" w:space="0"/>
              <w:bottom w:val="single" w:color="auto" w:sz="4" w:space="0"/>
              <w:right w:val="single" w:color="auto" w:sz="4" w:space="0"/>
            </w:tcBorders>
            <w:hideMark/>
          </w:tcPr>
          <w:p w:rsidR="0039224D" w:rsidP="001F0115" w:rsidRDefault="0039224D" w14:paraId="21705276" w14:textId="77777777">
            <w:pPr>
              <w:rPr>
                <w:rFonts w:eastAsia="Times New Roman" w:cs="Arial"/>
                <w:lang w:eastAsia="en-GB"/>
              </w:rPr>
            </w:pPr>
            <w:r>
              <w:rPr>
                <w:rFonts w:eastAsia="Times New Roman" w:cs="Arial"/>
                <w:lang w:eastAsia="en-GB"/>
              </w:rPr>
              <w:t>Not typically credit rated</w:t>
            </w:r>
          </w:p>
        </w:tc>
        <w:tc>
          <w:tcPr>
            <w:tcW w:w="2551" w:type="dxa"/>
            <w:tcBorders>
              <w:top w:val="single" w:color="auto" w:sz="4" w:space="0"/>
              <w:left w:val="single" w:color="auto" w:sz="4" w:space="0"/>
              <w:bottom w:val="single" w:color="auto" w:sz="4" w:space="0"/>
              <w:right w:val="single" w:color="auto" w:sz="4" w:space="0"/>
            </w:tcBorders>
            <w:hideMark/>
          </w:tcPr>
          <w:p w:rsidR="0039224D" w:rsidP="001F0115" w:rsidRDefault="0039224D" w14:paraId="6D1834BC" w14:textId="77777777">
            <w:pPr>
              <w:rPr>
                <w:rFonts w:eastAsia="Times New Roman" w:cs="Arial"/>
                <w:lang w:eastAsia="en-GB"/>
              </w:rPr>
            </w:pPr>
            <w:r>
              <w:rPr>
                <w:rFonts w:eastAsia="Times New Roman" w:cs="Arial"/>
                <w:lang w:eastAsia="en-GB"/>
              </w:rPr>
              <w:t>Not typically credit rated</w:t>
            </w:r>
          </w:p>
        </w:tc>
      </w:tr>
      <w:tr w:rsidR="0039224D" w:rsidTr="001F0115" w14:paraId="07477CC0" w14:textId="77777777">
        <w:tc>
          <w:tcPr>
            <w:tcW w:w="2802" w:type="dxa"/>
            <w:tcBorders>
              <w:top w:val="single" w:color="auto" w:sz="4" w:space="0"/>
              <w:left w:val="single" w:color="auto" w:sz="4" w:space="0"/>
              <w:bottom w:val="single" w:color="auto" w:sz="4" w:space="0"/>
              <w:right w:val="single" w:color="auto" w:sz="4" w:space="0"/>
            </w:tcBorders>
            <w:hideMark/>
          </w:tcPr>
          <w:p w:rsidR="0039224D" w:rsidP="001F0115" w:rsidRDefault="0039224D" w14:paraId="6302A9DF" w14:textId="77777777">
            <w:pPr>
              <w:rPr>
                <w:rFonts w:eastAsia="Times New Roman" w:cs="Arial"/>
                <w:lang w:eastAsia="en-GB"/>
              </w:rPr>
            </w:pPr>
            <w:r>
              <w:rPr>
                <w:rFonts w:eastAsia="Times New Roman" w:cs="Arial"/>
                <w:lang w:eastAsia="en-GB"/>
              </w:rPr>
              <w:t>MPhil</w:t>
            </w:r>
          </w:p>
        </w:tc>
        <w:tc>
          <w:tcPr>
            <w:tcW w:w="1275" w:type="dxa"/>
            <w:tcBorders>
              <w:top w:val="single" w:color="auto" w:sz="4" w:space="0"/>
              <w:left w:val="single" w:color="auto" w:sz="4" w:space="0"/>
              <w:bottom w:val="single" w:color="auto" w:sz="4" w:space="0"/>
              <w:right w:val="single" w:color="auto" w:sz="4" w:space="0"/>
            </w:tcBorders>
            <w:hideMark/>
          </w:tcPr>
          <w:p w:rsidR="0039224D" w:rsidP="001F0115" w:rsidRDefault="0039224D" w14:paraId="783BAFC4" w14:textId="77777777">
            <w:pPr>
              <w:rPr>
                <w:rFonts w:eastAsia="Times New Roman" w:cs="Arial"/>
                <w:lang w:eastAsia="en-GB"/>
              </w:rPr>
            </w:pPr>
            <w:r>
              <w:rPr>
                <w:rFonts w:eastAsia="Times New Roman" w:cs="Arial"/>
                <w:lang w:eastAsia="en-GB"/>
              </w:rPr>
              <w:t>7</w:t>
            </w:r>
          </w:p>
        </w:tc>
        <w:tc>
          <w:tcPr>
            <w:tcW w:w="2552" w:type="dxa"/>
            <w:tcBorders>
              <w:top w:val="single" w:color="auto" w:sz="4" w:space="0"/>
              <w:left w:val="single" w:color="auto" w:sz="4" w:space="0"/>
              <w:bottom w:val="single" w:color="auto" w:sz="4" w:space="0"/>
              <w:right w:val="single" w:color="auto" w:sz="4" w:space="0"/>
            </w:tcBorders>
            <w:hideMark/>
          </w:tcPr>
          <w:p w:rsidR="0039224D" w:rsidP="001F0115" w:rsidRDefault="0039224D" w14:paraId="24D2F7A7" w14:textId="77777777">
            <w:pPr>
              <w:rPr>
                <w:rFonts w:eastAsia="Times New Roman" w:cs="Arial"/>
                <w:lang w:eastAsia="en-GB"/>
              </w:rPr>
            </w:pPr>
            <w:r>
              <w:rPr>
                <w:rFonts w:eastAsia="Times New Roman" w:cs="Arial"/>
                <w:lang w:eastAsia="en-GB"/>
              </w:rPr>
              <w:t>Not typically credit rated</w:t>
            </w:r>
          </w:p>
        </w:tc>
        <w:tc>
          <w:tcPr>
            <w:tcW w:w="2551" w:type="dxa"/>
            <w:tcBorders>
              <w:top w:val="single" w:color="auto" w:sz="4" w:space="0"/>
              <w:left w:val="single" w:color="auto" w:sz="4" w:space="0"/>
              <w:bottom w:val="single" w:color="auto" w:sz="4" w:space="0"/>
              <w:right w:val="single" w:color="auto" w:sz="4" w:space="0"/>
            </w:tcBorders>
            <w:hideMark/>
          </w:tcPr>
          <w:p w:rsidR="0039224D" w:rsidP="001F0115" w:rsidRDefault="0039224D" w14:paraId="4C73887A" w14:textId="77777777">
            <w:pPr>
              <w:rPr>
                <w:rFonts w:eastAsia="Times New Roman" w:cs="Arial"/>
                <w:lang w:eastAsia="en-GB"/>
              </w:rPr>
            </w:pPr>
            <w:r>
              <w:rPr>
                <w:rFonts w:eastAsia="Times New Roman" w:cs="Arial"/>
                <w:lang w:eastAsia="en-GB"/>
              </w:rPr>
              <w:t>Not typically credit rated</w:t>
            </w:r>
          </w:p>
        </w:tc>
      </w:tr>
      <w:tr w:rsidR="0039224D" w:rsidTr="001F0115" w14:paraId="556A30B5" w14:textId="77777777">
        <w:tc>
          <w:tcPr>
            <w:tcW w:w="2802" w:type="dxa"/>
            <w:tcBorders>
              <w:top w:val="single" w:color="auto" w:sz="4" w:space="0"/>
              <w:left w:val="single" w:color="auto" w:sz="4" w:space="0"/>
              <w:bottom w:val="single" w:color="auto" w:sz="4" w:space="0"/>
              <w:right w:val="single" w:color="auto" w:sz="4" w:space="0"/>
            </w:tcBorders>
            <w:hideMark/>
          </w:tcPr>
          <w:p w:rsidR="0039224D" w:rsidP="001F0115" w:rsidRDefault="0039224D" w14:paraId="5C898FB7" w14:textId="77777777">
            <w:pPr>
              <w:rPr>
                <w:rFonts w:eastAsia="Times New Roman" w:cs="Arial"/>
                <w:lang w:eastAsia="en-GB"/>
              </w:rPr>
            </w:pPr>
            <w:r>
              <w:rPr>
                <w:rFonts w:eastAsia="Times New Roman" w:cs="Arial"/>
                <w:lang w:eastAsia="en-GB"/>
              </w:rPr>
              <w:t>MA, MSc, MRes</w:t>
            </w:r>
          </w:p>
        </w:tc>
        <w:tc>
          <w:tcPr>
            <w:tcW w:w="1275" w:type="dxa"/>
            <w:tcBorders>
              <w:top w:val="single" w:color="auto" w:sz="4" w:space="0"/>
              <w:left w:val="single" w:color="auto" w:sz="4" w:space="0"/>
              <w:bottom w:val="single" w:color="auto" w:sz="4" w:space="0"/>
              <w:right w:val="single" w:color="auto" w:sz="4" w:space="0"/>
            </w:tcBorders>
            <w:hideMark/>
          </w:tcPr>
          <w:p w:rsidR="0039224D" w:rsidP="001F0115" w:rsidRDefault="0039224D" w14:paraId="245B41A3" w14:textId="77777777">
            <w:pPr>
              <w:rPr>
                <w:rFonts w:eastAsia="Times New Roman" w:cs="Arial"/>
                <w:lang w:eastAsia="en-GB"/>
              </w:rPr>
            </w:pPr>
            <w:r>
              <w:rPr>
                <w:rFonts w:eastAsia="Times New Roman" w:cs="Arial"/>
                <w:lang w:eastAsia="en-GB"/>
              </w:rPr>
              <w:t>7</w:t>
            </w:r>
          </w:p>
        </w:tc>
        <w:tc>
          <w:tcPr>
            <w:tcW w:w="2552" w:type="dxa"/>
            <w:tcBorders>
              <w:top w:val="single" w:color="auto" w:sz="4" w:space="0"/>
              <w:left w:val="single" w:color="auto" w:sz="4" w:space="0"/>
              <w:bottom w:val="single" w:color="auto" w:sz="4" w:space="0"/>
              <w:right w:val="single" w:color="auto" w:sz="4" w:space="0"/>
            </w:tcBorders>
            <w:hideMark/>
          </w:tcPr>
          <w:p w:rsidR="0039224D" w:rsidP="001F0115" w:rsidRDefault="0039224D" w14:paraId="5BF1E21B" w14:textId="77777777">
            <w:pPr>
              <w:rPr>
                <w:rFonts w:eastAsia="Times New Roman" w:cs="Arial"/>
                <w:lang w:eastAsia="en-GB"/>
              </w:rPr>
            </w:pPr>
            <w:r>
              <w:rPr>
                <w:rFonts w:eastAsia="Times New Roman" w:cs="Arial"/>
                <w:lang w:eastAsia="en-GB"/>
              </w:rPr>
              <w:t>180</w:t>
            </w:r>
          </w:p>
        </w:tc>
        <w:tc>
          <w:tcPr>
            <w:tcW w:w="2551" w:type="dxa"/>
            <w:tcBorders>
              <w:top w:val="single" w:color="auto" w:sz="4" w:space="0"/>
              <w:left w:val="single" w:color="auto" w:sz="4" w:space="0"/>
              <w:bottom w:val="single" w:color="auto" w:sz="4" w:space="0"/>
              <w:right w:val="single" w:color="auto" w:sz="4" w:space="0"/>
            </w:tcBorders>
            <w:hideMark/>
          </w:tcPr>
          <w:p w:rsidR="0039224D" w:rsidP="001F0115" w:rsidRDefault="0039224D" w14:paraId="697C021E" w14:textId="77777777">
            <w:pPr>
              <w:rPr>
                <w:rFonts w:eastAsia="Times New Roman" w:cs="Arial"/>
                <w:lang w:eastAsia="en-GB"/>
              </w:rPr>
            </w:pPr>
            <w:r>
              <w:rPr>
                <w:rFonts w:eastAsia="Times New Roman" w:cs="Arial"/>
                <w:lang w:eastAsia="en-GB"/>
              </w:rPr>
              <w:t>150</w:t>
            </w:r>
          </w:p>
        </w:tc>
      </w:tr>
      <w:tr w:rsidR="0039224D" w:rsidTr="001F0115" w14:paraId="2F90A48E" w14:textId="77777777">
        <w:tc>
          <w:tcPr>
            <w:tcW w:w="2802" w:type="dxa"/>
            <w:tcBorders>
              <w:top w:val="single" w:color="auto" w:sz="4" w:space="0"/>
              <w:left w:val="single" w:color="auto" w:sz="4" w:space="0"/>
              <w:bottom w:val="single" w:color="auto" w:sz="4" w:space="0"/>
              <w:right w:val="single" w:color="auto" w:sz="4" w:space="0"/>
            </w:tcBorders>
            <w:hideMark/>
          </w:tcPr>
          <w:p w:rsidR="0039224D" w:rsidP="001F0115" w:rsidRDefault="0039224D" w14:paraId="65DB7A9A" w14:textId="77777777">
            <w:pPr>
              <w:rPr>
                <w:rFonts w:eastAsia="Times New Roman" w:cs="Arial"/>
                <w:lang w:eastAsia="en-GB"/>
              </w:rPr>
            </w:pPr>
            <w:r>
              <w:rPr>
                <w:rFonts w:eastAsia="Times New Roman" w:cs="Arial"/>
                <w:lang w:eastAsia="en-GB"/>
              </w:rPr>
              <w:t>MSci</w:t>
            </w:r>
          </w:p>
        </w:tc>
        <w:tc>
          <w:tcPr>
            <w:tcW w:w="1275" w:type="dxa"/>
            <w:tcBorders>
              <w:top w:val="single" w:color="auto" w:sz="4" w:space="0"/>
              <w:left w:val="single" w:color="auto" w:sz="4" w:space="0"/>
              <w:bottom w:val="single" w:color="auto" w:sz="4" w:space="0"/>
              <w:right w:val="single" w:color="auto" w:sz="4" w:space="0"/>
            </w:tcBorders>
            <w:hideMark/>
          </w:tcPr>
          <w:p w:rsidR="0039224D" w:rsidP="001F0115" w:rsidRDefault="0039224D" w14:paraId="2FFB4089" w14:textId="77777777">
            <w:pPr>
              <w:rPr>
                <w:rFonts w:eastAsia="Times New Roman" w:cs="Arial"/>
                <w:lang w:eastAsia="en-GB"/>
              </w:rPr>
            </w:pPr>
            <w:r>
              <w:rPr>
                <w:rFonts w:eastAsia="Times New Roman" w:cs="Arial"/>
                <w:lang w:eastAsia="en-GB"/>
              </w:rPr>
              <w:t>7</w:t>
            </w:r>
          </w:p>
        </w:tc>
        <w:tc>
          <w:tcPr>
            <w:tcW w:w="2552" w:type="dxa"/>
            <w:tcBorders>
              <w:top w:val="single" w:color="auto" w:sz="4" w:space="0"/>
              <w:left w:val="single" w:color="auto" w:sz="4" w:space="0"/>
              <w:bottom w:val="single" w:color="auto" w:sz="4" w:space="0"/>
              <w:right w:val="single" w:color="auto" w:sz="4" w:space="0"/>
            </w:tcBorders>
            <w:hideMark/>
          </w:tcPr>
          <w:p w:rsidR="0039224D" w:rsidP="001F0115" w:rsidRDefault="0039224D" w14:paraId="54E79266" w14:textId="77777777">
            <w:pPr>
              <w:rPr>
                <w:rFonts w:eastAsia="Times New Roman" w:cs="Arial"/>
                <w:lang w:eastAsia="en-GB"/>
              </w:rPr>
            </w:pPr>
            <w:r>
              <w:rPr>
                <w:rFonts w:eastAsia="Times New Roman" w:cs="Arial"/>
                <w:lang w:eastAsia="en-GB"/>
              </w:rPr>
              <w:t>480</w:t>
            </w:r>
          </w:p>
        </w:tc>
        <w:tc>
          <w:tcPr>
            <w:tcW w:w="2551" w:type="dxa"/>
            <w:tcBorders>
              <w:top w:val="single" w:color="auto" w:sz="4" w:space="0"/>
              <w:left w:val="single" w:color="auto" w:sz="4" w:space="0"/>
              <w:bottom w:val="single" w:color="auto" w:sz="4" w:space="0"/>
              <w:right w:val="single" w:color="auto" w:sz="4" w:space="0"/>
            </w:tcBorders>
            <w:hideMark/>
          </w:tcPr>
          <w:p w:rsidR="0039224D" w:rsidP="001F0115" w:rsidRDefault="0039224D" w14:paraId="52E82999" w14:textId="77777777">
            <w:pPr>
              <w:rPr>
                <w:rFonts w:eastAsia="Times New Roman" w:cs="Arial"/>
                <w:lang w:eastAsia="en-GB"/>
              </w:rPr>
            </w:pPr>
            <w:r>
              <w:rPr>
                <w:rFonts w:eastAsia="Times New Roman" w:cs="Arial"/>
                <w:lang w:eastAsia="en-GB"/>
              </w:rPr>
              <w:t>120</w:t>
            </w:r>
          </w:p>
        </w:tc>
      </w:tr>
      <w:tr w:rsidR="0039224D" w:rsidTr="001F0115" w14:paraId="106173D1" w14:textId="77777777">
        <w:tc>
          <w:tcPr>
            <w:tcW w:w="2802" w:type="dxa"/>
            <w:tcBorders>
              <w:top w:val="single" w:color="auto" w:sz="4" w:space="0"/>
              <w:left w:val="single" w:color="auto" w:sz="4" w:space="0"/>
              <w:bottom w:val="single" w:color="auto" w:sz="4" w:space="0"/>
              <w:right w:val="single" w:color="auto" w:sz="4" w:space="0"/>
            </w:tcBorders>
            <w:hideMark/>
          </w:tcPr>
          <w:p w:rsidR="0039224D" w:rsidP="001F0115" w:rsidRDefault="0039224D" w14:paraId="5B05AA7C" w14:textId="77777777">
            <w:pPr>
              <w:rPr>
                <w:rFonts w:eastAsia="Times New Roman" w:cs="Arial"/>
                <w:lang w:eastAsia="en-GB"/>
              </w:rPr>
            </w:pPr>
            <w:r>
              <w:rPr>
                <w:rFonts w:eastAsia="Times New Roman" w:cs="Arial"/>
                <w:lang w:eastAsia="en-GB"/>
              </w:rPr>
              <w:t>MBBS</w:t>
            </w:r>
          </w:p>
        </w:tc>
        <w:tc>
          <w:tcPr>
            <w:tcW w:w="1275" w:type="dxa"/>
            <w:tcBorders>
              <w:top w:val="single" w:color="auto" w:sz="4" w:space="0"/>
              <w:left w:val="single" w:color="auto" w:sz="4" w:space="0"/>
              <w:bottom w:val="single" w:color="auto" w:sz="4" w:space="0"/>
              <w:right w:val="single" w:color="auto" w:sz="4" w:space="0"/>
            </w:tcBorders>
            <w:hideMark/>
          </w:tcPr>
          <w:p w:rsidR="0039224D" w:rsidP="001F0115" w:rsidRDefault="0039224D" w14:paraId="036A3B28" w14:textId="77777777">
            <w:pPr>
              <w:rPr>
                <w:rFonts w:eastAsia="Times New Roman" w:cs="Arial"/>
                <w:lang w:eastAsia="en-GB"/>
              </w:rPr>
            </w:pPr>
            <w:r>
              <w:rPr>
                <w:rFonts w:eastAsia="Times New Roman" w:cs="Arial"/>
                <w:lang w:eastAsia="en-GB"/>
              </w:rPr>
              <w:t>7</w:t>
            </w:r>
          </w:p>
        </w:tc>
        <w:tc>
          <w:tcPr>
            <w:tcW w:w="2552" w:type="dxa"/>
            <w:tcBorders>
              <w:top w:val="single" w:color="auto" w:sz="4" w:space="0"/>
              <w:left w:val="single" w:color="auto" w:sz="4" w:space="0"/>
              <w:bottom w:val="single" w:color="auto" w:sz="4" w:space="0"/>
              <w:right w:val="single" w:color="auto" w:sz="4" w:space="0"/>
            </w:tcBorders>
            <w:hideMark/>
          </w:tcPr>
          <w:p w:rsidR="0039224D" w:rsidP="001F0115" w:rsidRDefault="0039224D" w14:paraId="1D6C146C" w14:textId="77777777">
            <w:pPr>
              <w:rPr>
                <w:rFonts w:eastAsia="Times New Roman" w:cs="Arial"/>
                <w:lang w:eastAsia="en-GB"/>
              </w:rPr>
            </w:pPr>
            <w:r>
              <w:rPr>
                <w:rFonts w:eastAsia="Times New Roman" w:cs="Arial"/>
                <w:lang w:eastAsia="en-GB"/>
              </w:rPr>
              <w:t>Not typically credit rated</w:t>
            </w:r>
          </w:p>
        </w:tc>
        <w:tc>
          <w:tcPr>
            <w:tcW w:w="2551" w:type="dxa"/>
            <w:tcBorders>
              <w:top w:val="single" w:color="auto" w:sz="4" w:space="0"/>
              <w:left w:val="single" w:color="auto" w:sz="4" w:space="0"/>
              <w:bottom w:val="single" w:color="auto" w:sz="4" w:space="0"/>
              <w:right w:val="single" w:color="auto" w:sz="4" w:space="0"/>
            </w:tcBorders>
            <w:hideMark/>
          </w:tcPr>
          <w:p w:rsidR="0039224D" w:rsidP="001F0115" w:rsidRDefault="0039224D" w14:paraId="56583120" w14:textId="77777777">
            <w:pPr>
              <w:rPr>
                <w:rFonts w:eastAsia="Times New Roman" w:cs="Arial"/>
                <w:lang w:eastAsia="en-GB"/>
              </w:rPr>
            </w:pPr>
            <w:r>
              <w:rPr>
                <w:rFonts w:eastAsia="Times New Roman" w:cs="Arial"/>
                <w:lang w:eastAsia="en-GB"/>
              </w:rPr>
              <w:t>Not typically credit rated</w:t>
            </w:r>
          </w:p>
        </w:tc>
      </w:tr>
      <w:tr w:rsidR="0039224D" w:rsidTr="001F0115" w14:paraId="32B50591" w14:textId="77777777">
        <w:tc>
          <w:tcPr>
            <w:tcW w:w="2802" w:type="dxa"/>
            <w:tcBorders>
              <w:top w:val="single" w:color="auto" w:sz="4" w:space="0"/>
              <w:left w:val="single" w:color="auto" w:sz="4" w:space="0"/>
              <w:bottom w:val="single" w:color="auto" w:sz="4" w:space="0"/>
              <w:right w:val="single" w:color="auto" w:sz="4" w:space="0"/>
            </w:tcBorders>
            <w:hideMark/>
          </w:tcPr>
          <w:p w:rsidR="0039224D" w:rsidP="001F0115" w:rsidRDefault="0039224D" w14:paraId="05A4CE94" w14:textId="77777777">
            <w:pPr>
              <w:rPr>
                <w:rFonts w:eastAsia="Times New Roman" w:cs="Arial"/>
                <w:lang w:eastAsia="en-GB"/>
              </w:rPr>
            </w:pPr>
            <w:proofErr w:type="spellStart"/>
            <w:r>
              <w:rPr>
                <w:rFonts w:eastAsia="Times New Roman" w:cs="Arial"/>
                <w:lang w:eastAsia="en-GB"/>
              </w:rPr>
              <w:t>PgDip</w:t>
            </w:r>
            <w:proofErr w:type="spellEnd"/>
          </w:p>
        </w:tc>
        <w:tc>
          <w:tcPr>
            <w:tcW w:w="1275" w:type="dxa"/>
            <w:tcBorders>
              <w:top w:val="single" w:color="auto" w:sz="4" w:space="0"/>
              <w:left w:val="single" w:color="auto" w:sz="4" w:space="0"/>
              <w:bottom w:val="single" w:color="auto" w:sz="4" w:space="0"/>
              <w:right w:val="single" w:color="auto" w:sz="4" w:space="0"/>
            </w:tcBorders>
            <w:hideMark/>
          </w:tcPr>
          <w:p w:rsidR="0039224D" w:rsidP="001F0115" w:rsidRDefault="0039224D" w14:paraId="1E95B957" w14:textId="77777777">
            <w:pPr>
              <w:rPr>
                <w:rFonts w:eastAsia="Times New Roman" w:cs="Arial"/>
                <w:lang w:eastAsia="en-GB"/>
              </w:rPr>
            </w:pPr>
            <w:r>
              <w:rPr>
                <w:rFonts w:eastAsia="Times New Roman" w:cs="Arial"/>
                <w:lang w:eastAsia="en-GB"/>
              </w:rPr>
              <w:t>7</w:t>
            </w:r>
          </w:p>
        </w:tc>
        <w:tc>
          <w:tcPr>
            <w:tcW w:w="2552" w:type="dxa"/>
            <w:tcBorders>
              <w:top w:val="single" w:color="auto" w:sz="4" w:space="0"/>
              <w:left w:val="single" w:color="auto" w:sz="4" w:space="0"/>
              <w:bottom w:val="single" w:color="auto" w:sz="4" w:space="0"/>
              <w:right w:val="single" w:color="auto" w:sz="4" w:space="0"/>
            </w:tcBorders>
            <w:hideMark/>
          </w:tcPr>
          <w:p w:rsidR="0039224D" w:rsidP="001F0115" w:rsidRDefault="0039224D" w14:paraId="70F41392" w14:textId="77777777">
            <w:pPr>
              <w:rPr>
                <w:rFonts w:eastAsia="Times New Roman" w:cs="Arial"/>
                <w:lang w:eastAsia="en-GB"/>
              </w:rPr>
            </w:pPr>
            <w:r>
              <w:rPr>
                <w:rFonts w:eastAsia="Times New Roman" w:cs="Arial"/>
                <w:lang w:eastAsia="en-GB"/>
              </w:rPr>
              <w:t>120</w:t>
            </w:r>
          </w:p>
        </w:tc>
        <w:tc>
          <w:tcPr>
            <w:tcW w:w="2551" w:type="dxa"/>
            <w:tcBorders>
              <w:top w:val="single" w:color="auto" w:sz="4" w:space="0"/>
              <w:left w:val="single" w:color="auto" w:sz="4" w:space="0"/>
              <w:bottom w:val="single" w:color="auto" w:sz="4" w:space="0"/>
              <w:right w:val="single" w:color="auto" w:sz="4" w:space="0"/>
            </w:tcBorders>
            <w:hideMark/>
          </w:tcPr>
          <w:p w:rsidR="0039224D" w:rsidP="001F0115" w:rsidRDefault="0039224D" w14:paraId="5E9FC77E" w14:textId="77777777">
            <w:pPr>
              <w:rPr>
                <w:rFonts w:eastAsia="Times New Roman" w:cs="Arial"/>
                <w:lang w:eastAsia="en-GB"/>
              </w:rPr>
            </w:pPr>
            <w:r>
              <w:rPr>
                <w:rFonts w:eastAsia="Times New Roman" w:cs="Arial"/>
                <w:lang w:eastAsia="en-GB"/>
              </w:rPr>
              <w:t>90</w:t>
            </w:r>
          </w:p>
        </w:tc>
      </w:tr>
      <w:tr w:rsidR="0039224D" w:rsidTr="001F0115" w14:paraId="25ECB7AA" w14:textId="77777777">
        <w:tc>
          <w:tcPr>
            <w:tcW w:w="2802" w:type="dxa"/>
            <w:tcBorders>
              <w:top w:val="single" w:color="auto" w:sz="4" w:space="0"/>
              <w:left w:val="single" w:color="auto" w:sz="4" w:space="0"/>
              <w:bottom w:val="single" w:color="auto" w:sz="4" w:space="0"/>
              <w:right w:val="single" w:color="auto" w:sz="4" w:space="0"/>
            </w:tcBorders>
            <w:hideMark/>
          </w:tcPr>
          <w:p w:rsidR="0039224D" w:rsidP="001F0115" w:rsidRDefault="0039224D" w14:paraId="65A34884" w14:textId="77777777">
            <w:pPr>
              <w:rPr>
                <w:rFonts w:eastAsia="Times New Roman" w:cs="Arial"/>
                <w:lang w:eastAsia="en-GB"/>
              </w:rPr>
            </w:pPr>
            <w:r>
              <w:rPr>
                <w:rFonts w:eastAsia="Times New Roman" w:cs="Arial"/>
                <w:lang w:eastAsia="en-GB"/>
              </w:rPr>
              <w:t>PgCert</w:t>
            </w:r>
          </w:p>
        </w:tc>
        <w:tc>
          <w:tcPr>
            <w:tcW w:w="1275" w:type="dxa"/>
            <w:tcBorders>
              <w:top w:val="single" w:color="auto" w:sz="4" w:space="0"/>
              <w:left w:val="single" w:color="auto" w:sz="4" w:space="0"/>
              <w:bottom w:val="single" w:color="auto" w:sz="4" w:space="0"/>
              <w:right w:val="single" w:color="auto" w:sz="4" w:space="0"/>
            </w:tcBorders>
            <w:hideMark/>
          </w:tcPr>
          <w:p w:rsidR="0039224D" w:rsidP="001F0115" w:rsidRDefault="0039224D" w14:paraId="4421DCAD" w14:textId="77777777">
            <w:pPr>
              <w:rPr>
                <w:rFonts w:eastAsia="Times New Roman" w:cs="Arial"/>
                <w:lang w:eastAsia="en-GB"/>
              </w:rPr>
            </w:pPr>
            <w:r>
              <w:rPr>
                <w:rFonts w:eastAsia="Times New Roman" w:cs="Arial"/>
                <w:lang w:eastAsia="en-GB"/>
              </w:rPr>
              <w:t>7</w:t>
            </w:r>
          </w:p>
        </w:tc>
        <w:tc>
          <w:tcPr>
            <w:tcW w:w="2552" w:type="dxa"/>
            <w:tcBorders>
              <w:top w:val="single" w:color="auto" w:sz="4" w:space="0"/>
              <w:left w:val="single" w:color="auto" w:sz="4" w:space="0"/>
              <w:bottom w:val="single" w:color="auto" w:sz="4" w:space="0"/>
              <w:right w:val="single" w:color="auto" w:sz="4" w:space="0"/>
            </w:tcBorders>
            <w:hideMark/>
          </w:tcPr>
          <w:p w:rsidR="0039224D" w:rsidP="001F0115" w:rsidRDefault="0039224D" w14:paraId="621BA1D3" w14:textId="77777777">
            <w:pPr>
              <w:rPr>
                <w:rFonts w:eastAsia="Times New Roman" w:cs="Arial"/>
                <w:lang w:eastAsia="en-GB"/>
              </w:rPr>
            </w:pPr>
            <w:r>
              <w:rPr>
                <w:rFonts w:eastAsia="Times New Roman" w:cs="Arial"/>
                <w:lang w:eastAsia="en-GB"/>
              </w:rPr>
              <w:t>60</w:t>
            </w:r>
          </w:p>
        </w:tc>
        <w:tc>
          <w:tcPr>
            <w:tcW w:w="2551" w:type="dxa"/>
            <w:tcBorders>
              <w:top w:val="single" w:color="auto" w:sz="4" w:space="0"/>
              <w:left w:val="single" w:color="auto" w:sz="4" w:space="0"/>
              <w:bottom w:val="single" w:color="auto" w:sz="4" w:space="0"/>
              <w:right w:val="single" w:color="auto" w:sz="4" w:space="0"/>
            </w:tcBorders>
            <w:hideMark/>
          </w:tcPr>
          <w:p w:rsidR="0039224D" w:rsidP="001F0115" w:rsidRDefault="0039224D" w14:paraId="591C18B5" w14:textId="77777777">
            <w:pPr>
              <w:rPr>
                <w:rFonts w:eastAsia="Times New Roman" w:cs="Arial"/>
                <w:lang w:eastAsia="en-GB"/>
              </w:rPr>
            </w:pPr>
            <w:r>
              <w:rPr>
                <w:rFonts w:eastAsia="Times New Roman" w:cs="Arial"/>
                <w:lang w:eastAsia="en-GB"/>
              </w:rPr>
              <w:t>40</w:t>
            </w:r>
          </w:p>
        </w:tc>
      </w:tr>
      <w:tr w:rsidR="0039224D" w:rsidTr="001F0115" w14:paraId="01932A26" w14:textId="77777777">
        <w:tc>
          <w:tcPr>
            <w:tcW w:w="2802" w:type="dxa"/>
            <w:tcBorders>
              <w:top w:val="single" w:color="auto" w:sz="4" w:space="0"/>
              <w:left w:val="single" w:color="auto" w:sz="4" w:space="0"/>
              <w:bottom w:val="single" w:color="auto" w:sz="4" w:space="0"/>
              <w:right w:val="single" w:color="auto" w:sz="4" w:space="0"/>
            </w:tcBorders>
            <w:hideMark/>
          </w:tcPr>
          <w:p w:rsidR="0039224D" w:rsidP="001F0115" w:rsidRDefault="0039224D" w14:paraId="054EBB6B" w14:textId="77777777">
            <w:pPr>
              <w:rPr>
                <w:rFonts w:eastAsia="Times New Roman" w:cs="Arial"/>
                <w:lang w:eastAsia="en-GB"/>
              </w:rPr>
            </w:pPr>
            <w:r>
              <w:rPr>
                <w:rFonts w:eastAsia="Times New Roman" w:cs="Arial"/>
                <w:lang w:eastAsia="en-GB"/>
              </w:rPr>
              <w:t>BSc with honours</w:t>
            </w:r>
          </w:p>
        </w:tc>
        <w:tc>
          <w:tcPr>
            <w:tcW w:w="1275" w:type="dxa"/>
            <w:tcBorders>
              <w:top w:val="single" w:color="auto" w:sz="4" w:space="0"/>
              <w:left w:val="single" w:color="auto" w:sz="4" w:space="0"/>
              <w:bottom w:val="single" w:color="auto" w:sz="4" w:space="0"/>
              <w:right w:val="single" w:color="auto" w:sz="4" w:space="0"/>
            </w:tcBorders>
            <w:hideMark/>
          </w:tcPr>
          <w:p w:rsidR="0039224D" w:rsidP="001F0115" w:rsidRDefault="0039224D" w14:paraId="3878B65D" w14:textId="77777777">
            <w:pPr>
              <w:rPr>
                <w:rFonts w:eastAsia="Times New Roman" w:cs="Arial"/>
                <w:lang w:eastAsia="en-GB"/>
              </w:rPr>
            </w:pPr>
            <w:r>
              <w:rPr>
                <w:rFonts w:eastAsia="Times New Roman" w:cs="Arial"/>
                <w:lang w:eastAsia="en-GB"/>
              </w:rPr>
              <w:t>6</w:t>
            </w:r>
          </w:p>
        </w:tc>
        <w:tc>
          <w:tcPr>
            <w:tcW w:w="2552" w:type="dxa"/>
            <w:tcBorders>
              <w:top w:val="single" w:color="auto" w:sz="4" w:space="0"/>
              <w:left w:val="single" w:color="auto" w:sz="4" w:space="0"/>
              <w:bottom w:val="single" w:color="auto" w:sz="4" w:space="0"/>
              <w:right w:val="single" w:color="auto" w:sz="4" w:space="0"/>
            </w:tcBorders>
            <w:hideMark/>
          </w:tcPr>
          <w:p w:rsidR="0039224D" w:rsidP="001F0115" w:rsidRDefault="0039224D" w14:paraId="09F8D3FF" w14:textId="77777777">
            <w:pPr>
              <w:rPr>
                <w:rFonts w:eastAsia="Times New Roman" w:cs="Arial"/>
                <w:lang w:eastAsia="en-GB"/>
              </w:rPr>
            </w:pPr>
            <w:r>
              <w:rPr>
                <w:rFonts w:eastAsia="Times New Roman" w:cs="Arial"/>
                <w:lang w:eastAsia="en-GB"/>
              </w:rPr>
              <w:t>360</w:t>
            </w:r>
          </w:p>
        </w:tc>
        <w:tc>
          <w:tcPr>
            <w:tcW w:w="2551" w:type="dxa"/>
            <w:tcBorders>
              <w:top w:val="single" w:color="auto" w:sz="4" w:space="0"/>
              <w:left w:val="single" w:color="auto" w:sz="4" w:space="0"/>
              <w:bottom w:val="single" w:color="auto" w:sz="4" w:space="0"/>
              <w:right w:val="single" w:color="auto" w:sz="4" w:space="0"/>
            </w:tcBorders>
            <w:hideMark/>
          </w:tcPr>
          <w:p w:rsidR="0039224D" w:rsidP="001F0115" w:rsidRDefault="0039224D" w14:paraId="29E998AF" w14:textId="77777777">
            <w:pPr>
              <w:rPr>
                <w:rFonts w:eastAsia="Times New Roman" w:cs="Arial"/>
                <w:lang w:eastAsia="en-GB"/>
              </w:rPr>
            </w:pPr>
            <w:r>
              <w:rPr>
                <w:rFonts w:eastAsia="Times New Roman" w:cs="Arial"/>
                <w:lang w:eastAsia="en-GB"/>
              </w:rPr>
              <w:t>90</w:t>
            </w:r>
          </w:p>
        </w:tc>
      </w:tr>
      <w:tr w:rsidR="0039224D" w:rsidTr="001F0115" w14:paraId="311F913D" w14:textId="77777777">
        <w:tc>
          <w:tcPr>
            <w:tcW w:w="2802" w:type="dxa"/>
            <w:tcBorders>
              <w:top w:val="single" w:color="auto" w:sz="4" w:space="0"/>
              <w:left w:val="single" w:color="auto" w:sz="4" w:space="0"/>
              <w:bottom w:val="single" w:color="auto" w:sz="4" w:space="0"/>
              <w:right w:val="single" w:color="auto" w:sz="4" w:space="0"/>
            </w:tcBorders>
            <w:hideMark/>
          </w:tcPr>
          <w:p w:rsidR="0039224D" w:rsidP="001F0115" w:rsidRDefault="0039224D" w14:paraId="05C4AC9B" w14:textId="77777777">
            <w:pPr>
              <w:rPr>
                <w:rFonts w:eastAsia="Times New Roman" w:cs="Arial"/>
                <w:lang w:eastAsia="en-GB"/>
              </w:rPr>
            </w:pPr>
            <w:r>
              <w:rPr>
                <w:rFonts w:eastAsia="Times New Roman" w:cs="Arial"/>
                <w:lang w:eastAsia="en-GB"/>
              </w:rPr>
              <w:t>BSc</w:t>
            </w:r>
            <w:r>
              <w:rPr>
                <w:rStyle w:val="FootnoteReference"/>
                <w:rFonts w:eastAsia="Times New Roman" w:cs="Arial"/>
                <w:lang w:eastAsia="en-GB"/>
              </w:rPr>
              <w:footnoteReference w:id="3"/>
            </w:r>
          </w:p>
        </w:tc>
        <w:tc>
          <w:tcPr>
            <w:tcW w:w="1275" w:type="dxa"/>
            <w:tcBorders>
              <w:top w:val="single" w:color="auto" w:sz="4" w:space="0"/>
              <w:left w:val="single" w:color="auto" w:sz="4" w:space="0"/>
              <w:bottom w:val="single" w:color="auto" w:sz="4" w:space="0"/>
              <w:right w:val="single" w:color="auto" w:sz="4" w:space="0"/>
            </w:tcBorders>
            <w:hideMark/>
          </w:tcPr>
          <w:p w:rsidR="0039224D" w:rsidP="001F0115" w:rsidRDefault="0039224D" w14:paraId="651E5DA5" w14:textId="77777777">
            <w:pPr>
              <w:rPr>
                <w:rFonts w:eastAsia="Times New Roman" w:cs="Arial"/>
                <w:lang w:eastAsia="en-GB"/>
              </w:rPr>
            </w:pPr>
            <w:r>
              <w:rPr>
                <w:rFonts w:eastAsia="Times New Roman" w:cs="Arial"/>
                <w:lang w:eastAsia="en-GB"/>
              </w:rPr>
              <w:t>6</w:t>
            </w:r>
          </w:p>
        </w:tc>
        <w:tc>
          <w:tcPr>
            <w:tcW w:w="2552" w:type="dxa"/>
            <w:tcBorders>
              <w:top w:val="single" w:color="auto" w:sz="4" w:space="0"/>
              <w:left w:val="single" w:color="auto" w:sz="4" w:space="0"/>
              <w:bottom w:val="single" w:color="auto" w:sz="4" w:space="0"/>
              <w:right w:val="single" w:color="auto" w:sz="4" w:space="0"/>
            </w:tcBorders>
            <w:hideMark/>
          </w:tcPr>
          <w:p w:rsidR="0039224D" w:rsidP="001F0115" w:rsidRDefault="0039224D" w14:paraId="58FB7623" w14:textId="77777777">
            <w:pPr>
              <w:rPr>
                <w:rFonts w:eastAsia="Times New Roman" w:cs="Arial"/>
                <w:lang w:eastAsia="en-GB"/>
              </w:rPr>
            </w:pPr>
            <w:r>
              <w:rPr>
                <w:rFonts w:eastAsia="Times New Roman" w:cs="Arial"/>
                <w:lang w:eastAsia="en-GB"/>
              </w:rPr>
              <w:t>300</w:t>
            </w:r>
          </w:p>
        </w:tc>
        <w:tc>
          <w:tcPr>
            <w:tcW w:w="2551" w:type="dxa"/>
            <w:tcBorders>
              <w:top w:val="single" w:color="auto" w:sz="4" w:space="0"/>
              <w:left w:val="single" w:color="auto" w:sz="4" w:space="0"/>
              <w:bottom w:val="single" w:color="auto" w:sz="4" w:space="0"/>
              <w:right w:val="single" w:color="auto" w:sz="4" w:space="0"/>
            </w:tcBorders>
            <w:hideMark/>
          </w:tcPr>
          <w:p w:rsidR="0039224D" w:rsidP="001F0115" w:rsidRDefault="0039224D" w14:paraId="41F00C95" w14:textId="77777777">
            <w:pPr>
              <w:rPr>
                <w:rFonts w:eastAsia="Times New Roman" w:cs="Arial"/>
                <w:lang w:eastAsia="en-GB"/>
              </w:rPr>
            </w:pPr>
            <w:r>
              <w:rPr>
                <w:rFonts w:eastAsia="Times New Roman" w:cs="Arial"/>
                <w:lang w:eastAsia="en-GB"/>
              </w:rPr>
              <w:t>60</w:t>
            </w:r>
          </w:p>
        </w:tc>
      </w:tr>
      <w:tr w:rsidR="0039224D" w:rsidTr="001F0115" w14:paraId="2E302986" w14:textId="77777777">
        <w:tc>
          <w:tcPr>
            <w:tcW w:w="2802" w:type="dxa"/>
            <w:tcBorders>
              <w:top w:val="single" w:color="auto" w:sz="4" w:space="0"/>
              <w:left w:val="single" w:color="auto" w:sz="4" w:space="0"/>
              <w:bottom w:val="single" w:color="auto" w:sz="4" w:space="0"/>
              <w:right w:val="single" w:color="auto" w:sz="4" w:space="0"/>
            </w:tcBorders>
            <w:hideMark/>
          </w:tcPr>
          <w:p w:rsidR="0039224D" w:rsidP="001F0115" w:rsidRDefault="0039224D" w14:paraId="23139439" w14:textId="77777777">
            <w:pPr>
              <w:rPr>
                <w:rFonts w:eastAsia="Times New Roman" w:cs="Arial"/>
                <w:lang w:eastAsia="en-GB"/>
              </w:rPr>
            </w:pPr>
            <w:r>
              <w:rPr>
                <w:rFonts w:eastAsia="Times New Roman" w:cs="Arial"/>
                <w:lang w:eastAsia="en-GB"/>
              </w:rPr>
              <w:t>Graduate Diploma</w:t>
            </w:r>
          </w:p>
        </w:tc>
        <w:tc>
          <w:tcPr>
            <w:tcW w:w="1275" w:type="dxa"/>
            <w:tcBorders>
              <w:top w:val="single" w:color="auto" w:sz="4" w:space="0"/>
              <w:left w:val="single" w:color="auto" w:sz="4" w:space="0"/>
              <w:bottom w:val="single" w:color="auto" w:sz="4" w:space="0"/>
              <w:right w:val="single" w:color="auto" w:sz="4" w:space="0"/>
            </w:tcBorders>
            <w:hideMark/>
          </w:tcPr>
          <w:p w:rsidR="0039224D" w:rsidP="001F0115" w:rsidRDefault="0039224D" w14:paraId="412A17FD" w14:textId="77777777">
            <w:pPr>
              <w:rPr>
                <w:rFonts w:eastAsia="Times New Roman" w:cs="Arial"/>
                <w:lang w:eastAsia="en-GB"/>
              </w:rPr>
            </w:pPr>
            <w:r>
              <w:rPr>
                <w:rFonts w:eastAsia="Times New Roman" w:cs="Arial"/>
                <w:lang w:eastAsia="en-GB"/>
              </w:rPr>
              <w:t>6</w:t>
            </w:r>
          </w:p>
        </w:tc>
        <w:tc>
          <w:tcPr>
            <w:tcW w:w="2552" w:type="dxa"/>
            <w:tcBorders>
              <w:top w:val="single" w:color="auto" w:sz="4" w:space="0"/>
              <w:left w:val="single" w:color="auto" w:sz="4" w:space="0"/>
              <w:bottom w:val="single" w:color="auto" w:sz="4" w:space="0"/>
              <w:right w:val="single" w:color="auto" w:sz="4" w:space="0"/>
            </w:tcBorders>
            <w:hideMark/>
          </w:tcPr>
          <w:p w:rsidR="0039224D" w:rsidP="001F0115" w:rsidRDefault="0039224D" w14:paraId="06E7111E" w14:textId="77777777">
            <w:pPr>
              <w:rPr>
                <w:rFonts w:eastAsia="Times New Roman" w:cs="Arial"/>
                <w:lang w:eastAsia="en-GB"/>
              </w:rPr>
            </w:pPr>
            <w:r>
              <w:rPr>
                <w:rFonts w:eastAsia="Times New Roman" w:cs="Arial"/>
                <w:lang w:eastAsia="en-GB"/>
              </w:rPr>
              <w:t>80</w:t>
            </w:r>
          </w:p>
        </w:tc>
        <w:tc>
          <w:tcPr>
            <w:tcW w:w="2551" w:type="dxa"/>
            <w:tcBorders>
              <w:top w:val="single" w:color="auto" w:sz="4" w:space="0"/>
              <w:left w:val="single" w:color="auto" w:sz="4" w:space="0"/>
              <w:bottom w:val="single" w:color="auto" w:sz="4" w:space="0"/>
              <w:right w:val="single" w:color="auto" w:sz="4" w:space="0"/>
            </w:tcBorders>
            <w:hideMark/>
          </w:tcPr>
          <w:p w:rsidR="0039224D" w:rsidP="001F0115" w:rsidRDefault="0039224D" w14:paraId="698854F5" w14:textId="77777777">
            <w:pPr>
              <w:rPr>
                <w:rFonts w:eastAsia="Times New Roman" w:cs="Arial"/>
                <w:lang w:eastAsia="en-GB"/>
              </w:rPr>
            </w:pPr>
            <w:r>
              <w:rPr>
                <w:rFonts w:eastAsia="Times New Roman" w:cs="Arial"/>
                <w:lang w:eastAsia="en-GB"/>
              </w:rPr>
              <w:t>80</w:t>
            </w:r>
          </w:p>
        </w:tc>
      </w:tr>
      <w:tr w:rsidR="0039224D" w:rsidTr="001F0115" w14:paraId="003E0328" w14:textId="77777777">
        <w:tc>
          <w:tcPr>
            <w:tcW w:w="2802" w:type="dxa"/>
            <w:tcBorders>
              <w:top w:val="single" w:color="auto" w:sz="4" w:space="0"/>
              <w:left w:val="single" w:color="auto" w:sz="4" w:space="0"/>
              <w:bottom w:val="single" w:color="auto" w:sz="4" w:space="0"/>
              <w:right w:val="single" w:color="auto" w:sz="4" w:space="0"/>
            </w:tcBorders>
            <w:hideMark/>
          </w:tcPr>
          <w:p w:rsidR="0039224D" w:rsidP="001F0115" w:rsidRDefault="0039224D" w14:paraId="08B5D073" w14:textId="77777777">
            <w:pPr>
              <w:rPr>
                <w:rFonts w:eastAsia="Times New Roman" w:cs="Arial"/>
                <w:lang w:eastAsia="en-GB"/>
              </w:rPr>
            </w:pPr>
            <w:r>
              <w:rPr>
                <w:rFonts w:eastAsia="Times New Roman" w:cs="Arial"/>
                <w:lang w:eastAsia="en-GB"/>
              </w:rPr>
              <w:t xml:space="preserve">Graduate Certificate </w:t>
            </w:r>
          </w:p>
        </w:tc>
        <w:tc>
          <w:tcPr>
            <w:tcW w:w="1275" w:type="dxa"/>
            <w:tcBorders>
              <w:top w:val="single" w:color="auto" w:sz="4" w:space="0"/>
              <w:left w:val="single" w:color="auto" w:sz="4" w:space="0"/>
              <w:bottom w:val="single" w:color="auto" w:sz="4" w:space="0"/>
              <w:right w:val="single" w:color="auto" w:sz="4" w:space="0"/>
            </w:tcBorders>
            <w:hideMark/>
          </w:tcPr>
          <w:p w:rsidR="0039224D" w:rsidP="001F0115" w:rsidRDefault="0039224D" w14:paraId="420A8C4A" w14:textId="77777777">
            <w:pPr>
              <w:rPr>
                <w:rFonts w:eastAsia="Times New Roman" w:cs="Arial"/>
                <w:lang w:eastAsia="en-GB"/>
              </w:rPr>
            </w:pPr>
            <w:r>
              <w:rPr>
                <w:rFonts w:eastAsia="Times New Roman" w:cs="Arial"/>
                <w:lang w:eastAsia="en-GB"/>
              </w:rPr>
              <w:t>6</w:t>
            </w:r>
          </w:p>
        </w:tc>
        <w:tc>
          <w:tcPr>
            <w:tcW w:w="2552" w:type="dxa"/>
            <w:tcBorders>
              <w:top w:val="single" w:color="auto" w:sz="4" w:space="0"/>
              <w:left w:val="single" w:color="auto" w:sz="4" w:space="0"/>
              <w:bottom w:val="single" w:color="auto" w:sz="4" w:space="0"/>
              <w:right w:val="single" w:color="auto" w:sz="4" w:space="0"/>
            </w:tcBorders>
            <w:hideMark/>
          </w:tcPr>
          <w:p w:rsidR="0039224D" w:rsidP="001F0115" w:rsidRDefault="0039224D" w14:paraId="29B4DBC9" w14:textId="77777777">
            <w:pPr>
              <w:rPr>
                <w:rFonts w:eastAsia="Times New Roman" w:cs="Arial"/>
                <w:lang w:eastAsia="en-GB"/>
              </w:rPr>
            </w:pPr>
            <w:r>
              <w:rPr>
                <w:rFonts w:eastAsia="Times New Roman" w:cs="Arial"/>
                <w:lang w:eastAsia="en-GB"/>
              </w:rPr>
              <w:t>60</w:t>
            </w:r>
          </w:p>
        </w:tc>
        <w:tc>
          <w:tcPr>
            <w:tcW w:w="2551" w:type="dxa"/>
            <w:tcBorders>
              <w:top w:val="single" w:color="auto" w:sz="4" w:space="0"/>
              <w:left w:val="single" w:color="auto" w:sz="4" w:space="0"/>
              <w:bottom w:val="single" w:color="auto" w:sz="4" w:space="0"/>
              <w:right w:val="single" w:color="auto" w:sz="4" w:space="0"/>
            </w:tcBorders>
            <w:hideMark/>
          </w:tcPr>
          <w:p w:rsidR="0039224D" w:rsidP="001F0115" w:rsidRDefault="0039224D" w14:paraId="1A606CE3" w14:textId="77777777">
            <w:pPr>
              <w:rPr>
                <w:rFonts w:eastAsia="Times New Roman" w:cs="Arial"/>
                <w:lang w:eastAsia="en-GB"/>
              </w:rPr>
            </w:pPr>
            <w:r>
              <w:rPr>
                <w:rFonts w:eastAsia="Times New Roman" w:cs="Arial"/>
                <w:lang w:eastAsia="en-GB"/>
              </w:rPr>
              <w:t>60</w:t>
            </w:r>
          </w:p>
        </w:tc>
      </w:tr>
      <w:tr w:rsidR="0039224D" w:rsidTr="001F0115" w14:paraId="32932001" w14:textId="77777777">
        <w:tc>
          <w:tcPr>
            <w:tcW w:w="2802" w:type="dxa"/>
            <w:tcBorders>
              <w:top w:val="single" w:color="auto" w:sz="4" w:space="0"/>
              <w:left w:val="single" w:color="auto" w:sz="4" w:space="0"/>
              <w:bottom w:val="single" w:color="auto" w:sz="4" w:space="0"/>
              <w:right w:val="single" w:color="auto" w:sz="4" w:space="0"/>
            </w:tcBorders>
            <w:hideMark/>
          </w:tcPr>
          <w:p w:rsidR="0039224D" w:rsidP="001F0115" w:rsidRDefault="0039224D" w14:paraId="660BBBF8" w14:textId="77777777">
            <w:pPr>
              <w:rPr>
                <w:rFonts w:eastAsia="Times New Roman" w:cs="Arial"/>
                <w:lang w:eastAsia="en-GB"/>
              </w:rPr>
            </w:pPr>
            <w:proofErr w:type="spellStart"/>
            <w:r>
              <w:rPr>
                <w:rFonts w:eastAsia="Times New Roman" w:cs="Arial"/>
                <w:lang w:eastAsia="en-GB"/>
              </w:rPr>
              <w:t>FdSc</w:t>
            </w:r>
            <w:proofErr w:type="spellEnd"/>
          </w:p>
        </w:tc>
        <w:tc>
          <w:tcPr>
            <w:tcW w:w="1275" w:type="dxa"/>
            <w:tcBorders>
              <w:top w:val="single" w:color="auto" w:sz="4" w:space="0"/>
              <w:left w:val="single" w:color="auto" w:sz="4" w:space="0"/>
              <w:bottom w:val="single" w:color="auto" w:sz="4" w:space="0"/>
              <w:right w:val="single" w:color="auto" w:sz="4" w:space="0"/>
            </w:tcBorders>
            <w:hideMark/>
          </w:tcPr>
          <w:p w:rsidR="0039224D" w:rsidP="001F0115" w:rsidRDefault="0039224D" w14:paraId="6B36F9E6" w14:textId="77777777">
            <w:pPr>
              <w:rPr>
                <w:rFonts w:eastAsia="Times New Roman" w:cs="Arial"/>
                <w:lang w:eastAsia="en-GB"/>
              </w:rPr>
            </w:pPr>
            <w:r>
              <w:rPr>
                <w:rFonts w:eastAsia="Times New Roman" w:cs="Arial"/>
                <w:lang w:eastAsia="en-GB"/>
              </w:rPr>
              <w:t>5</w:t>
            </w:r>
          </w:p>
        </w:tc>
        <w:tc>
          <w:tcPr>
            <w:tcW w:w="2552" w:type="dxa"/>
            <w:tcBorders>
              <w:top w:val="single" w:color="auto" w:sz="4" w:space="0"/>
              <w:left w:val="single" w:color="auto" w:sz="4" w:space="0"/>
              <w:bottom w:val="single" w:color="auto" w:sz="4" w:space="0"/>
              <w:right w:val="single" w:color="auto" w:sz="4" w:space="0"/>
            </w:tcBorders>
            <w:hideMark/>
          </w:tcPr>
          <w:p w:rsidR="0039224D" w:rsidP="001F0115" w:rsidRDefault="0039224D" w14:paraId="371DEEDB" w14:textId="77777777">
            <w:pPr>
              <w:rPr>
                <w:rFonts w:eastAsia="Times New Roman" w:cs="Arial"/>
                <w:lang w:eastAsia="en-GB"/>
              </w:rPr>
            </w:pPr>
            <w:r>
              <w:rPr>
                <w:rFonts w:eastAsia="Times New Roman" w:cs="Arial"/>
                <w:lang w:eastAsia="en-GB"/>
              </w:rPr>
              <w:t>240</w:t>
            </w:r>
          </w:p>
        </w:tc>
        <w:tc>
          <w:tcPr>
            <w:tcW w:w="2551" w:type="dxa"/>
            <w:tcBorders>
              <w:top w:val="single" w:color="auto" w:sz="4" w:space="0"/>
              <w:left w:val="single" w:color="auto" w:sz="4" w:space="0"/>
              <w:bottom w:val="single" w:color="auto" w:sz="4" w:space="0"/>
              <w:right w:val="single" w:color="auto" w:sz="4" w:space="0"/>
            </w:tcBorders>
            <w:hideMark/>
          </w:tcPr>
          <w:p w:rsidR="0039224D" w:rsidP="001F0115" w:rsidRDefault="0039224D" w14:paraId="12611C9B" w14:textId="77777777">
            <w:pPr>
              <w:rPr>
                <w:rFonts w:eastAsia="Times New Roman" w:cs="Arial"/>
                <w:lang w:eastAsia="en-GB"/>
              </w:rPr>
            </w:pPr>
            <w:r>
              <w:rPr>
                <w:rFonts w:eastAsia="Times New Roman" w:cs="Arial"/>
                <w:lang w:eastAsia="en-GB"/>
              </w:rPr>
              <w:t>90</w:t>
            </w:r>
          </w:p>
        </w:tc>
      </w:tr>
      <w:tr w:rsidR="0039224D" w:rsidTr="001F0115" w14:paraId="3F402179" w14:textId="77777777">
        <w:tc>
          <w:tcPr>
            <w:tcW w:w="2802" w:type="dxa"/>
            <w:tcBorders>
              <w:top w:val="single" w:color="auto" w:sz="4" w:space="0"/>
              <w:left w:val="single" w:color="auto" w:sz="4" w:space="0"/>
              <w:bottom w:val="single" w:color="auto" w:sz="4" w:space="0"/>
              <w:right w:val="single" w:color="auto" w:sz="4" w:space="0"/>
            </w:tcBorders>
            <w:hideMark/>
          </w:tcPr>
          <w:p w:rsidR="0039224D" w:rsidP="001F0115" w:rsidRDefault="0039224D" w14:paraId="513F9AF5" w14:textId="77777777">
            <w:pPr>
              <w:rPr>
                <w:rFonts w:eastAsia="Times New Roman" w:cs="Arial"/>
                <w:lang w:eastAsia="en-GB"/>
              </w:rPr>
            </w:pPr>
            <w:r>
              <w:rPr>
                <w:rFonts w:eastAsia="Times New Roman" w:cs="Arial"/>
                <w:lang w:eastAsia="en-GB"/>
              </w:rPr>
              <w:t>Undergraduate Diploma/DipHE</w:t>
            </w:r>
          </w:p>
        </w:tc>
        <w:tc>
          <w:tcPr>
            <w:tcW w:w="1275" w:type="dxa"/>
            <w:tcBorders>
              <w:top w:val="single" w:color="auto" w:sz="4" w:space="0"/>
              <w:left w:val="single" w:color="auto" w:sz="4" w:space="0"/>
              <w:bottom w:val="single" w:color="auto" w:sz="4" w:space="0"/>
              <w:right w:val="single" w:color="auto" w:sz="4" w:space="0"/>
            </w:tcBorders>
            <w:hideMark/>
          </w:tcPr>
          <w:p w:rsidR="0039224D" w:rsidP="001F0115" w:rsidRDefault="0039224D" w14:paraId="1028859E" w14:textId="77777777">
            <w:pPr>
              <w:rPr>
                <w:rFonts w:eastAsia="Times New Roman" w:cs="Arial"/>
                <w:lang w:eastAsia="en-GB"/>
              </w:rPr>
            </w:pPr>
            <w:r>
              <w:rPr>
                <w:rFonts w:eastAsia="Times New Roman" w:cs="Arial"/>
                <w:lang w:eastAsia="en-GB"/>
              </w:rPr>
              <w:t>5</w:t>
            </w:r>
          </w:p>
        </w:tc>
        <w:tc>
          <w:tcPr>
            <w:tcW w:w="2552" w:type="dxa"/>
            <w:tcBorders>
              <w:top w:val="single" w:color="auto" w:sz="4" w:space="0"/>
              <w:left w:val="single" w:color="auto" w:sz="4" w:space="0"/>
              <w:bottom w:val="single" w:color="auto" w:sz="4" w:space="0"/>
              <w:right w:val="single" w:color="auto" w:sz="4" w:space="0"/>
            </w:tcBorders>
            <w:hideMark/>
          </w:tcPr>
          <w:p w:rsidR="0039224D" w:rsidP="001F0115" w:rsidRDefault="0039224D" w14:paraId="7D9AC55A" w14:textId="77777777">
            <w:pPr>
              <w:rPr>
                <w:rFonts w:eastAsia="Times New Roman" w:cs="Arial"/>
                <w:lang w:eastAsia="en-GB"/>
              </w:rPr>
            </w:pPr>
            <w:r>
              <w:rPr>
                <w:rFonts w:eastAsia="Times New Roman" w:cs="Arial"/>
                <w:lang w:eastAsia="en-GB"/>
              </w:rPr>
              <w:t>240</w:t>
            </w:r>
          </w:p>
        </w:tc>
        <w:tc>
          <w:tcPr>
            <w:tcW w:w="2551" w:type="dxa"/>
            <w:tcBorders>
              <w:top w:val="single" w:color="auto" w:sz="4" w:space="0"/>
              <w:left w:val="single" w:color="auto" w:sz="4" w:space="0"/>
              <w:bottom w:val="single" w:color="auto" w:sz="4" w:space="0"/>
              <w:right w:val="single" w:color="auto" w:sz="4" w:space="0"/>
            </w:tcBorders>
            <w:hideMark/>
          </w:tcPr>
          <w:p w:rsidR="0039224D" w:rsidP="001F0115" w:rsidRDefault="0039224D" w14:paraId="35920E6C" w14:textId="77777777">
            <w:pPr>
              <w:rPr>
                <w:rFonts w:eastAsia="Times New Roman" w:cs="Arial"/>
                <w:lang w:eastAsia="en-GB"/>
              </w:rPr>
            </w:pPr>
            <w:r>
              <w:rPr>
                <w:rFonts w:eastAsia="Times New Roman" w:cs="Arial"/>
                <w:lang w:eastAsia="en-GB"/>
              </w:rPr>
              <w:t>90</w:t>
            </w:r>
          </w:p>
        </w:tc>
      </w:tr>
      <w:tr w:rsidR="0039224D" w:rsidTr="001F0115" w14:paraId="013D0A9B" w14:textId="77777777">
        <w:tc>
          <w:tcPr>
            <w:tcW w:w="2802" w:type="dxa"/>
            <w:tcBorders>
              <w:top w:val="single" w:color="auto" w:sz="4" w:space="0"/>
              <w:left w:val="single" w:color="auto" w:sz="4" w:space="0"/>
              <w:bottom w:val="single" w:color="auto" w:sz="4" w:space="0"/>
              <w:right w:val="single" w:color="auto" w:sz="4" w:space="0"/>
            </w:tcBorders>
            <w:hideMark/>
          </w:tcPr>
          <w:p w:rsidR="0039224D" w:rsidP="001F0115" w:rsidRDefault="0039224D" w14:paraId="1A50E970" w14:textId="77777777">
            <w:pPr>
              <w:rPr>
                <w:rFonts w:eastAsia="Times New Roman" w:cs="Arial"/>
                <w:lang w:eastAsia="en-GB"/>
              </w:rPr>
            </w:pPr>
            <w:r>
              <w:rPr>
                <w:rFonts w:eastAsia="Times New Roman" w:cs="Arial"/>
                <w:lang w:eastAsia="en-GB"/>
              </w:rPr>
              <w:t>Undergraduate Certificate/</w:t>
            </w:r>
            <w:proofErr w:type="spellStart"/>
            <w:r>
              <w:rPr>
                <w:rFonts w:eastAsia="Times New Roman" w:cs="Arial"/>
                <w:lang w:eastAsia="en-GB"/>
              </w:rPr>
              <w:t>CertHE</w:t>
            </w:r>
            <w:proofErr w:type="spellEnd"/>
          </w:p>
        </w:tc>
        <w:tc>
          <w:tcPr>
            <w:tcW w:w="1275" w:type="dxa"/>
            <w:tcBorders>
              <w:top w:val="single" w:color="auto" w:sz="4" w:space="0"/>
              <w:left w:val="single" w:color="auto" w:sz="4" w:space="0"/>
              <w:bottom w:val="single" w:color="auto" w:sz="4" w:space="0"/>
              <w:right w:val="single" w:color="auto" w:sz="4" w:space="0"/>
            </w:tcBorders>
            <w:hideMark/>
          </w:tcPr>
          <w:p w:rsidR="0039224D" w:rsidP="001F0115" w:rsidRDefault="0039224D" w14:paraId="2D18364B" w14:textId="77777777">
            <w:pPr>
              <w:rPr>
                <w:rFonts w:eastAsia="Times New Roman" w:cs="Arial"/>
                <w:lang w:eastAsia="en-GB"/>
              </w:rPr>
            </w:pPr>
            <w:r>
              <w:rPr>
                <w:rFonts w:eastAsia="Times New Roman" w:cs="Arial"/>
                <w:lang w:eastAsia="en-GB"/>
              </w:rPr>
              <w:t>4</w:t>
            </w:r>
          </w:p>
        </w:tc>
        <w:tc>
          <w:tcPr>
            <w:tcW w:w="2552" w:type="dxa"/>
            <w:tcBorders>
              <w:top w:val="single" w:color="auto" w:sz="4" w:space="0"/>
              <w:left w:val="single" w:color="auto" w:sz="4" w:space="0"/>
              <w:bottom w:val="single" w:color="auto" w:sz="4" w:space="0"/>
              <w:right w:val="single" w:color="auto" w:sz="4" w:space="0"/>
            </w:tcBorders>
            <w:hideMark/>
          </w:tcPr>
          <w:p w:rsidR="0039224D" w:rsidP="001F0115" w:rsidRDefault="0039224D" w14:paraId="14E7B576" w14:textId="77777777">
            <w:pPr>
              <w:rPr>
                <w:rFonts w:eastAsia="Times New Roman" w:cs="Arial"/>
                <w:lang w:eastAsia="en-GB"/>
              </w:rPr>
            </w:pPr>
            <w:r>
              <w:rPr>
                <w:rFonts w:eastAsia="Times New Roman" w:cs="Arial"/>
                <w:lang w:eastAsia="en-GB"/>
              </w:rPr>
              <w:t>120</w:t>
            </w:r>
          </w:p>
        </w:tc>
        <w:tc>
          <w:tcPr>
            <w:tcW w:w="2551" w:type="dxa"/>
            <w:tcBorders>
              <w:top w:val="single" w:color="auto" w:sz="4" w:space="0"/>
              <w:left w:val="single" w:color="auto" w:sz="4" w:space="0"/>
              <w:bottom w:val="single" w:color="auto" w:sz="4" w:space="0"/>
              <w:right w:val="single" w:color="auto" w:sz="4" w:space="0"/>
            </w:tcBorders>
            <w:hideMark/>
          </w:tcPr>
          <w:p w:rsidR="0039224D" w:rsidP="001F0115" w:rsidRDefault="0039224D" w14:paraId="18293E05" w14:textId="77777777">
            <w:pPr>
              <w:rPr>
                <w:rFonts w:eastAsia="Times New Roman" w:cs="Arial"/>
                <w:lang w:eastAsia="en-GB"/>
              </w:rPr>
            </w:pPr>
            <w:r>
              <w:rPr>
                <w:rFonts w:eastAsia="Times New Roman" w:cs="Arial"/>
                <w:lang w:eastAsia="en-GB"/>
              </w:rPr>
              <w:t>90</w:t>
            </w:r>
          </w:p>
        </w:tc>
      </w:tr>
      <w:tr w:rsidR="0039224D" w:rsidTr="001F0115" w14:paraId="395C2121" w14:textId="77777777">
        <w:tc>
          <w:tcPr>
            <w:tcW w:w="2802" w:type="dxa"/>
            <w:tcBorders>
              <w:top w:val="single" w:color="auto" w:sz="4" w:space="0"/>
              <w:left w:val="single" w:color="auto" w:sz="4" w:space="0"/>
              <w:bottom w:val="single" w:color="auto" w:sz="4" w:space="0"/>
              <w:right w:val="single" w:color="auto" w:sz="4" w:space="0"/>
            </w:tcBorders>
            <w:hideMark/>
          </w:tcPr>
          <w:p w:rsidR="0039224D" w:rsidP="001F0115" w:rsidRDefault="0039224D" w14:paraId="1DCC860C" w14:textId="77777777">
            <w:pPr>
              <w:rPr>
                <w:rFonts w:eastAsia="Times New Roman" w:cs="Arial"/>
                <w:lang w:eastAsia="en-GB"/>
              </w:rPr>
            </w:pPr>
            <w:r>
              <w:rPr>
                <w:rFonts w:eastAsia="Times New Roman" w:cs="Arial"/>
                <w:lang w:eastAsia="en-GB"/>
              </w:rPr>
              <w:t>Foundation Certificate</w:t>
            </w:r>
          </w:p>
        </w:tc>
        <w:tc>
          <w:tcPr>
            <w:tcW w:w="1275" w:type="dxa"/>
            <w:tcBorders>
              <w:top w:val="single" w:color="auto" w:sz="4" w:space="0"/>
              <w:left w:val="single" w:color="auto" w:sz="4" w:space="0"/>
              <w:bottom w:val="single" w:color="auto" w:sz="4" w:space="0"/>
              <w:right w:val="single" w:color="auto" w:sz="4" w:space="0"/>
            </w:tcBorders>
            <w:hideMark/>
          </w:tcPr>
          <w:p w:rsidR="0039224D" w:rsidP="001F0115" w:rsidRDefault="0039224D" w14:paraId="4A3F3481" w14:textId="77777777">
            <w:pPr>
              <w:rPr>
                <w:rFonts w:eastAsia="Times New Roman" w:cs="Arial"/>
                <w:lang w:eastAsia="en-GB"/>
              </w:rPr>
            </w:pPr>
            <w:r>
              <w:rPr>
                <w:rFonts w:eastAsia="Times New Roman" w:cs="Arial"/>
                <w:lang w:eastAsia="en-GB"/>
              </w:rPr>
              <w:t>Not aligned to FHEQ</w:t>
            </w:r>
          </w:p>
        </w:tc>
        <w:tc>
          <w:tcPr>
            <w:tcW w:w="2552" w:type="dxa"/>
            <w:tcBorders>
              <w:top w:val="single" w:color="auto" w:sz="4" w:space="0"/>
              <w:left w:val="single" w:color="auto" w:sz="4" w:space="0"/>
              <w:bottom w:val="single" w:color="auto" w:sz="4" w:space="0"/>
              <w:right w:val="single" w:color="auto" w:sz="4" w:space="0"/>
            </w:tcBorders>
            <w:hideMark/>
          </w:tcPr>
          <w:p w:rsidR="0039224D" w:rsidP="001F0115" w:rsidRDefault="0039224D" w14:paraId="75CE1C67" w14:textId="77777777">
            <w:pPr>
              <w:rPr>
                <w:rFonts w:eastAsia="Times New Roman" w:cs="Arial"/>
                <w:lang w:eastAsia="en-GB"/>
              </w:rPr>
            </w:pPr>
            <w:r>
              <w:rPr>
                <w:rFonts w:eastAsia="Times New Roman" w:cs="Arial"/>
                <w:lang w:eastAsia="en-GB"/>
              </w:rPr>
              <w:t>120</w:t>
            </w:r>
          </w:p>
        </w:tc>
        <w:tc>
          <w:tcPr>
            <w:tcW w:w="2551" w:type="dxa"/>
            <w:tcBorders>
              <w:top w:val="single" w:color="auto" w:sz="4" w:space="0"/>
              <w:left w:val="single" w:color="auto" w:sz="4" w:space="0"/>
              <w:bottom w:val="single" w:color="auto" w:sz="4" w:space="0"/>
              <w:right w:val="single" w:color="auto" w:sz="4" w:space="0"/>
            </w:tcBorders>
            <w:hideMark/>
          </w:tcPr>
          <w:p w:rsidR="0039224D" w:rsidP="001F0115" w:rsidRDefault="0039224D" w14:paraId="7F249459" w14:textId="77777777">
            <w:pPr>
              <w:rPr>
                <w:rFonts w:eastAsia="Times New Roman" w:cs="Arial"/>
                <w:lang w:eastAsia="en-GB"/>
              </w:rPr>
            </w:pPr>
            <w:r>
              <w:rPr>
                <w:rFonts w:eastAsia="Times New Roman" w:cs="Arial"/>
                <w:lang w:eastAsia="en-GB"/>
              </w:rPr>
              <w:t>120</w:t>
            </w:r>
          </w:p>
        </w:tc>
      </w:tr>
    </w:tbl>
    <w:p w:rsidR="0039224D" w:rsidP="0039224D" w:rsidRDefault="0039224D" w14:paraId="1E6FC023" w14:textId="77777777">
      <w:pPr>
        <w:spacing w:after="0" w:line="240" w:lineRule="auto"/>
        <w:rPr>
          <w:rFonts w:eastAsia="Times New Roman" w:cs="Arial"/>
          <w:lang w:eastAsia="en-GB"/>
        </w:rPr>
      </w:pPr>
    </w:p>
    <w:p w:rsidR="0039224D" w:rsidP="0039224D" w:rsidRDefault="0039224D" w14:paraId="402ACDB1" w14:textId="77777777"/>
    <w:p w:rsidRPr="00583F99" w:rsidR="0039224D" w:rsidP="0039224D" w:rsidRDefault="0039224D" w14:paraId="4521C403" w14:textId="77777777">
      <w:pPr>
        <w:jc w:val="both"/>
        <w:rPr>
          <w:rFonts w:ascii="Franklin Gothic Book" w:hAnsi="Franklin Gothic Book" w:cs="Arial"/>
        </w:rPr>
      </w:pPr>
    </w:p>
    <w:p w:rsidRPr="00583F99" w:rsidR="004E190C" w:rsidP="00583F99" w:rsidRDefault="004E190C" w14:paraId="67DEA4B0" w14:textId="77777777">
      <w:pPr>
        <w:jc w:val="both"/>
        <w:rPr>
          <w:rFonts w:ascii="Franklin Gothic Book" w:hAnsi="Franklin Gothic Book" w:cs="Arial"/>
        </w:rPr>
      </w:pPr>
    </w:p>
    <w:sectPr w:rsidRPr="00583F99" w:rsidR="004E190C">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ABE56B" w14:textId="77777777" w:rsidR="00F40D86" w:rsidRDefault="00F40D86" w:rsidP="00F17AA4">
      <w:pPr>
        <w:spacing w:after="0" w:line="240" w:lineRule="auto"/>
      </w:pPr>
      <w:r>
        <w:separator/>
      </w:r>
    </w:p>
  </w:endnote>
  <w:endnote w:type="continuationSeparator" w:id="0">
    <w:p w14:paraId="10F5846D" w14:textId="77777777" w:rsidR="00F40D86" w:rsidRDefault="00F40D86" w:rsidP="00F17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7518591"/>
      <w:docPartObj>
        <w:docPartGallery w:val="Page Numbers (Bottom of Page)"/>
        <w:docPartUnique/>
      </w:docPartObj>
    </w:sdtPr>
    <w:sdtEndPr>
      <w:rPr>
        <w:color w:val="7F7F7F" w:themeColor="background1" w:themeShade="7F"/>
        <w:spacing w:val="60"/>
      </w:rPr>
    </w:sdtEndPr>
    <w:sdtContent>
      <w:p w14:paraId="6F6DB302" w14:textId="7D9CDA77" w:rsidR="00F17AA4" w:rsidRDefault="00F17AA4">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F3AE114" w14:textId="77777777" w:rsidR="00F17AA4" w:rsidRDefault="00F17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3C7079" w14:textId="77777777" w:rsidR="00F40D86" w:rsidRDefault="00F40D86" w:rsidP="00F17AA4">
      <w:pPr>
        <w:spacing w:after="0" w:line="240" w:lineRule="auto"/>
      </w:pPr>
      <w:r>
        <w:separator/>
      </w:r>
    </w:p>
  </w:footnote>
  <w:footnote w:type="continuationSeparator" w:id="0">
    <w:p w14:paraId="27A3D6E3" w14:textId="77777777" w:rsidR="00F40D86" w:rsidRDefault="00F40D86" w:rsidP="00F17AA4">
      <w:pPr>
        <w:spacing w:after="0" w:line="240" w:lineRule="auto"/>
      </w:pPr>
      <w:r>
        <w:continuationSeparator/>
      </w:r>
    </w:p>
  </w:footnote>
  <w:footnote w:id="1">
    <w:p w14:paraId="1D9FF46A" w14:textId="74EA7C36" w:rsidR="001548D9" w:rsidRPr="0035636D" w:rsidRDefault="001548D9">
      <w:pPr>
        <w:pStyle w:val="FootnoteText"/>
        <w:rPr>
          <w:rFonts w:cstheme="minorHAnsi"/>
          <w:sz w:val="16"/>
          <w:szCs w:val="16"/>
        </w:rPr>
      </w:pPr>
      <w:r w:rsidRPr="0035636D">
        <w:rPr>
          <w:rStyle w:val="FootnoteReference"/>
          <w:rFonts w:cstheme="minorHAnsi"/>
          <w:sz w:val="16"/>
          <w:szCs w:val="16"/>
        </w:rPr>
        <w:footnoteRef/>
      </w:r>
      <w:r w:rsidRPr="0035636D">
        <w:rPr>
          <w:rFonts w:cstheme="minorHAnsi"/>
          <w:sz w:val="16"/>
          <w:szCs w:val="16"/>
        </w:rPr>
        <w:t xml:space="preserve"> </w:t>
      </w:r>
      <w:r w:rsidRPr="0035636D">
        <w:rPr>
          <w:rFonts w:cstheme="minorHAnsi"/>
          <w:color w:val="0B0C0C"/>
          <w:sz w:val="16"/>
          <w:szCs w:val="16"/>
          <w:shd w:val="clear" w:color="auto" w:fill="FFFFFF"/>
        </w:rPr>
        <w:t xml:space="preserve">From 2025, the Government </w:t>
      </w:r>
      <w:r w:rsidR="00C45579" w:rsidRPr="0035636D">
        <w:rPr>
          <w:rFonts w:cstheme="minorHAnsi"/>
          <w:color w:val="0B0C0C"/>
          <w:sz w:val="16"/>
          <w:szCs w:val="16"/>
          <w:shd w:val="clear" w:color="auto" w:fill="FFFFFF"/>
        </w:rPr>
        <w:t>will begin</w:t>
      </w:r>
      <w:r w:rsidRPr="0035636D">
        <w:rPr>
          <w:rFonts w:cstheme="minorHAnsi"/>
          <w:color w:val="0B0C0C"/>
          <w:sz w:val="16"/>
          <w:szCs w:val="16"/>
          <w:shd w:val="clear" w:color="auto" w:fill="FFFFFF"/>
        </w:rPr>
        <w:t xml:space="preserve"> to introduce the lifelong loan entitlement (LLE)</w:t>
      </w:r>
      <w:r w:rsidR="00C45579" w:rsidRPr="0035636D">
        <w:rPr>
          <w:rFonts w:cstheme="minorHAnsi"/>
          <w:color w:val="0B0C0C"/>
          <w:sz w:val="16"/>
          <w:szCs w:val="16"/>
          <w:shd w:val="clear" w:color="auto" w:fill="FFFFFF"/>
        </w:rPr>
        <w:t>, a modular student finance scheme, to</w:t>
      </w:r>
      <w:r w:rsidRPr="0035636D">
        <w:rPr>
          <w:rFonts w:cstheme="minorHAnsi"/>
          <w:color w:val="0B0C0C"/>
          <w:sz w:val="16"/>
          <w:szCs w:val="16"/>
          <w:shd w:val="clear" w:color="auto" w:fill="FFFFFF"/>
        </w:rPr>
        <w:t xml:space="preserve"> provide individuals with a loan entitlement to the equivalent of 4 years of post-18 education to use over their lifetime. It will be available for both modular and full-time study </w:t>
      </w:r>
      <w:r w:rsidR="0035636D" w:rsidRPr="0035636D">
        <w:rPr>
          <w:rFonts w:cstheme="minorHAnsi"/>
          <w:color w:val="0B0C0C"/>
          <w:sz w:val="16"/>
          <w:szCs w:val="16"/>
          <w:shd w:val="clear" w:color="auto" w:fill="FFFFFF"/>
        </w:rPr>
        <w:t>with the current expectation</w:t>
      </w:r>
      <w:r w:rsidR="00C45579" w:rsidRPr="0035636D">
        <w:rPr>
          <w:rFonts w:cstheme="minorHAnsi"/>
          <w:color w:val="0B0C0C"/>
          <w:sz w:val="16"/>
          <w:szCs w:val="16"/>
          <w:shd w:val="clear" w:color="auto" w:fill="FFFFFF"/>
        </w:rPr>
        <w:t xml:space="preserve"> that the LLE</w:t>
      </w:r>
      <w:r w:rsidR="0035636D" w:rsidRPr="0035636D">
        <w:rPr>
          <w:rFonts w:cstheme="minorHAnsi"/>
          <w:color w:val="0B0C0C"/>
          <w:sz w:val="16"/>
          <w:szCs w:val="16"/>
          <w:shd w:val="clear" w:color="auto" w:fill="FFFFFF"/>
        </w:rPr>
        <w:t xml:space="preserve"> will be extended to study at (levels 4 to 6) from 2027</w:t>
      </w:r>
      <w:r w:rsidRPr="0035636D">
        <w:rPr>
          <w:rFonts w:cstheme="minorHAnsi"/>
          <w:color w:val="0B0C0C"/>
          <w:sz w:val="16"/>
          <w:szCs w:val="16"/>
          <w:shd w:val="clear" w:color="auto" w:fill="FFFFFF"/>
        </w:rPr>
        <w:t xml:space="preserve">. For learners wishing to access the LLE to study </w:t>
      </w:r>
      <w:r w:rsidR="0035636D" w:rsidRPr="0035636D">
        <w:rPr>
          <w:rFonts w:cstheme="minorHAnsi"/>
          <w:color w:val="0B0C0C"/>
          <w:sz w:val="16"/>
          <w:szCs w:val="16"/>
          <w:shd w:val="clear" w:color="auto" w:fill="FFFFFF"/>
        </w:rPr>
        <w:t xml:space="preserve">individual </w:t>
      </w:r>
      <w:r w:rsidRPr="0035636D">
        <w:rPr>
          <w:rFonts w:cstheme="minorHAnsi"/>
          <w:color w:val="0B0C0C"/>
          <w:sz w:val="16"/>
          <w:szCs w:val="16"/>
          <w:shd w:val="clear" w:color="auto" w:fill="FFFFFF"/>
        </w:rPr>
        <w:t xml:space="preserve">modules on a flexible basis, it is likely that the </w:t>
      </w:r>
      <w:r w:rsidR="00A60094" w:rsidRPr="0035636D">
        <w:rPr>
          <w:rFonts w:cstheme="minorHAnsi"/>
          <w:color w:val="0B0C0C"/>
          <w:sz w:val="16"/>
          <w:szCs w:val="16"/>
          <w:shd w:val="clear" w:color="auto" w:fill="FFFFFF"/>
        </w:rPr>
        <w:t>learner</w:t>
      </w:r>
      <w:r w:rsidR="0035636D" w:rsidRPr="0035636D">
        <w:rPr>
          <w:rFonts w:cstheme="minorHAnsi"/>
          <w:color w:val="0B0C0C"/>
          <w:sz w:val="16"/>
          <w:szCs w:val="16"/>
          <w:shd w:val="clear" w:color="auto" w:fill="FFFFFF"/>
        </w:rPr>
        <w:t xml:space="preserve"> will have to study modules with a minimum credit value of 30 credits to be eligible for loan support. Programme teams should consider how 15 credits modules can be paired to create coherent 30 credit blocks that would be eligible for the LLE.</w:t>
      </w:r>
      <w:r w:rsidR="00A60094" w:rsidRPr="0035636D">
        <w:rPr>
          <w:rFonts w:cstheme="minorHAnsi"/>
          <w:color w:val="0B0C0C"/>
          <w:sz w:val="16"/>
          <w:szCs w:val="16"/>
          <w:shd w:val="clear" w:color="auto" w:fill="FFFFFF"/>
        </w:rPr>
        <w:t xml:space="preserve"> </w:t>
      </w:r>
    </w:p>
  </w:footnote>
  <w:footnote w:id="2">
    <w:p w14:paraId="5702F8F9" w14:textId="77777777" w:rsidR="0039224D" w:rsidRDefault="0039224D" w:rsidP="0039224D">
      <w:pPr>
        <w:rPr>
          <w:rFonts w:eastAsia="Times New Roman" w:cs="Arial"/>
          <w:sz w:val="20"/>
          <w:szCs w:val="20"/>
          <w:lang w:val="en-GB" w:eastAsia="en-GB"/>
        </w:rPr>
      </w:pPr>
      <w:r>
        <w:rPr>
          <w:rStyle w:val="FootnoteReference"/>
        </w:rPr>
        <w:footnoteRef/>
      </w:r>
      <w:r>
        <w:t xml:space="preserve"> </w:t>
      </w:r>
      <w:r>
        <w:rPr>
          <w:rFonts w:eastAsia="Times New Roman" w:cs="Arial"/>
          <w:sz w:val="20"/>
          <w:szCs w:val="20"/>
          <w:lang w:eastAsia="en-GB"/>
        </w:rPr>
        <w:t>The QAA framework for higher education qualifications in England, Wales and Northern Ireland, 2014</w:t>
      </w:r>
    </w:p>
  </w:footnote>
  <w:footnote w:id="3">
    <w:p w14:paraId="28164020" w14:textId="731165E2" w:rsidR="0039224D" w:rsidRDefault="0039224D" w:rsidP="0039224D">
      <w:pPr>
        <w:pStyle w:val="CommentText"/>
      </w:pPr>
      <w:r>
        <w:rPr>
          <w:rStyle w:val="FootnoteReference"/>
        </w:rPr>
        <w:footnoteRef/>
      </w:r>
      <w:r>
        <w:t xml:space="preserve"> SGUL has two models: </w:t>
      </w:r>
      <w:r w:rsidR="003F669F">
        <w:t>120 credits</w:t>
      </w:r>
      <w:r>
        <w:t xml:space="preserve"> at level 6 (for a top up) and 60 at level 6 as an exit award from an honours programme and MBBS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881EED"/>
    <w:multiLevelType w:val="multilevel"/>
    <w:tmpl w:val="36FCBB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CF6D7E"/>
    <w:multiLevelType w:val="hybridMultilevel"/>
    <w:tmpl w:val="A432BF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4214F1B"/>
    <w:multiLevelType w:val="hybridMultilevel"/>
    <w:tmpl w:val="250CB8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E53570"/>
    <w:multiLevelType w:val="hybridMultilevel"/>
    <w:tmpl w:val="FC365CFC"/>
    <w:lvl w:ilvl="0" w:tplc="58AC2676">
      <w:start w:val="2"/>
      <w:numFmt w:val="decimal"/>
      <w:lvlText w:val="%1."/>
      <w:lvlJc w:val="left"/>
      <w:pPr>
        <w:ind w:left="720" w:hanging="360"/>
      </w:pPr>
      <w:rPr>
        <w:rFonts w:hint="default"/>
        <w:b/>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2B0405CF"/>
    <w:multiLevelType w:val="hybridMultilevel"/>
    <w:tmpl w:val="20E424BA"/>
    <w:lvl w:ilvl="0" w:tplc="63E4B180">
      <w:start w:val="1"/>
      <w:numFmt w:val="bullet"/>
      <w:lvlText w:val=""/>
      <w:lvlJc w:val="left"/>
      <w:pPr>
        <w:tabs>
          <w:tab w:val="num" w:pos="720"/>
        </w:tabs>
        <w:ind w:left="720" w:hanging="360"/>
      </w:pPr>
      <w:rPr>
        <w:rFonts w:ascii="Wingdings 2" w:hAnsi="Wingdings 2" w:hint="default"/>
      </w:rPr>
    </w:lvl>
    <w:lvl w:ilvl="1" w:tplc="FCD6479C" w:tentative="1">
      <w:start w:val="1"/>
      <w:numFmt w:val="bullet"/>
      <w:lvlText w:val=""/>
      <w:lvlJc w:val="left"/>
      <w:pPr>
        <w:tabs>
          <w:tab w:val="num" w:pos="1440"/>
        </w:tabs>
        <w:ind w:left="1440" w:hanging="360"/>
      </w:pPr>
      <w:rPr>
        <w:rFonts w:ascii="Wingdings 2" w:hAnsi="Wingdings 2" w:hint="default"/>
      </w:rPr>
    </w:lvl>
    <w:lvl w:ilvl="2" w:tplc="A8A2D8F8" w:tentative="1">
      <w:start w:val="1"/>
      <w:numFmt w:val="bullet"/>
      <w:lvlText w:val=""/>
      <w:lvlJc w:val="left"/>
      <w:pPr>
        <w:tabs>
          <w:tab w:val="num" w:pos="2160"/>
        </w:tabs>
        <w:ind w:left="2160" w:hanging="360"/>
      </w:pPr>
      <w:rPr>
        <w:rFonts w:ascii="Wingdings 2" w:hAnsi="Wingdings 2" w:hint="default"/>
      </w:rPr>
    </w:lvl>
    <w:lvl w:ilvl="3" w:tplc="20B87C56" w:tentative="1">
      <w:start w:val="1"/>
      <w:numFmt w:val="bullet"/>
      <w:lvlText w:val=""/>
      <w:lvlJc w:val="left"/>
      <w:pPr>
        <w:tabs>
          <w:tab w:val="num" w:pos="2880"/>
        </w:tabs>
        <w:ind w:left="2880" w:hanging="360"/>
      </w:pPr>
      <w:rPr>
        <w:rFonts w:ascii="Wingdings 2" w:hAnsi="Wingdings 2" w:hint="default"/>
      </w:rPr>
    </w:lvl>
    <w:lvl w:ilvl="4" w:tplc="4CA60398" w:tentative="1">
      <w:start w:val="1"/>
      <w:numFmt w:val="bullet"/>
      <w:lvlText w:val=""/>
      <w:lvlJc w:val="left"/>
      <w:pPr>
        <w:tabs>
          <w:tab w:val="num" w:pos="3600"/>
        </w:tabs>
        <w:ind w:left="3600" w:hanging="360"/>
      </w:pPr>
      <w:rPr>
        <w:rFonts w:ascii="Wingdings 2" w:hAnsi="Wingdings 2" w:hint="default"/>
      </w:rPr>
    </w:lvl>
    <w:lvl w:ilvl="5" w:tplc="220EE386" w:tentative="1">
      <w:start w:val="1"/>
      <w:numFmt w:val="bullet"/>
      <w:lvlText w:val=""/>
      <w:lvlJc w:val="left"/>
      <w:pPr>
        <w:tabs>
          <w:tab w:val="num" w:pos="4320"/>
        </w:tabs>
        <w:ind w:left="4320" w:hanging="360"/>
      </w:pPr>
      <w:rPr>
        <w:rFonts w:ascii="Wingdings 2" w:hAnsi="Wingdings 2" w:hint="default"/>
      </w:rPr>
    </w:lvl>
    <w:lvl w:ilvl="6" w:tplc="3E801BB4" w:tentative="1">
      <w:start w:val="1"/>
      <w:numFmt w:val="bullet"/>
      <w:lvlText w:val=""/>
      <w:lvlJc w:val="left"/>
      <w:pPr>
        <w:tabs>
          <w:tab w:val="num" w:pos="5040"/>
        </w:tabs>
        <w:ind w:left="5040" w:hanging="360"/>
      </w:pPr>
      <w:rPr>
        <w:rFonts w:ascii="Wingdings 2" w:hAnsi="Wingdings 2" w:hint="default"/>
      </w:rPr>
    </w:lvl>
    <w:lvl w:ilvl="7" w:tplc="35AC899A" w:tentative="1">
      <w:start w:val="1"/>
      <w:numFmt w:val="bullet"/>
      <w:lvlText w:val=""/>
      <w:lvlJc w:val="left"/>
      <w:pPr>
        <w:tabs>
          <w:tab w:val="num" w:pos="5760"/>
        </w:tabs>
        <w:ind w:left="5760" w:hanging="360"/>
      </w:pPr>
      <w:rPr>
        <w:rFonts w:ascii="Wingdings 2" w:hAnsi="Wingdings 2" w:hint="default"/>
      </w:rPr>
    </w:lvl>
    <w:lvl w:ilvl="8" w:tplc="7488ED04"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37421ACB"/>
    <w:multiLevelType w:val="multilevel"/>
    <w:tmpl w:val="0422001F"/>
    <w:styleLink w:val="9"/>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7CBAA36"/>
    <w:multiLevelType w:val="hybridMultilevel"/>
    <w:tmpl w:val="545A6CCC"/>
    <w:lvl w:ilvl="0" w:tplc="414A2626">
      <w:start w:val="1"/>
      <w:numFmt w:val="decimal"/>
      <w:lvlText w:val="%1."/>
      <w:lvlJc w:val="left"/>
      <w:pPr>
        <w:ind w:left="720" w:hanging="360"/>
      </w:pPr>
    </w:lvl>
    <w:lvl w:ilvl="1" w:tplc="C390DE10">
      <w:start w:val="1"/>
      <w:numFmt w:val="lowerLetter"/>
      <w:lvlText w:val="%2."/>
      <w:lvlJc w:val="left"/>
      <w:pPr>
        <w:ind w:left="1440" w:hanging="360"/>
      </w:pPr>
    </w:lvl>
    <w:lvl w:ilvl="2" w:tplc="C4FEBE74">
      <w:start w:val="1"/>
      <w:numFmt w:val="lowerRoman"/>
      <w:lvlText w:val="%3."/>
      <w:lvlJc w:val="right"/>
      <w:pPr>
        <w:ind w:left="2160" w:hanging="180"/>
      </w:pPr>
    </w:lvl>
    <w:lvl w:ilvl="3" w:tplc="17A0A2F0">
      <w:start w:val="1"/>
      <w:numFmt w:val="decimal"/>
      <w:lvlText w:val="%4."/>
      <w:lvlJc w:val="left"/>
      <w:pPr>
        <w:ind w:left="2880" w:hanging="360"/>
      </w:pPr>
    </w:lvl>
    <w:lvl w:ilvl="4" w:tplc="3A52BD8A">
      <w:start w:val="1"/>
      <w:numFmt w:val="lowerLetter"/>
      <w:lvlText w:val="%5."/>
      <w:lvlJc w:val="left"/>
      <w:pPr>
        <w:ind w:left="3600" w:hanging="360"/>
      </w:pPr>
    </w:lvl>
    <w:lvl w:ilvl="5" w:tplc="047E8F44">
      <w:start w:val="1"/>
      <w:numFmt w:val="lowerRoman"/>
      <w:lvlText w:val="%6."/>
      <w:lvlJc w:val="right"/>
      <w:pPr>
        <w:ind w:left="4320" w:hanging="180"/>
      </w:pPr>
    </w:lvl>
    <w:lvl w:ilvl="6" w:tplc="ADA66D94">
      <w:start w:val="1"/>
      <w:numFmt w:val="decimal"/>
      <w:lvlText w:val="%7."/>
      <w:lvlJc w:val="left"/>
      <w:pPr>
        <w:ind w:left="5040" w:hanging="360"/>
      </w:pPr>
    </w:lvl>
    <w:lvl w:ilvl="7" w:tplc="51D614E4">
      <w:start w:val="1"/>
      <w:numFmt w:val="lowerLetter"/>
      <w:lvlText w:val="%8."/>
      <w:lvlJc w:val="left"/>
      <w:pPr>
        <w:ind w:left="5760" w:hanging="360"/>
      </w:pPr>
    </w:lvl>
    <w:lvl w:ilvl="8" w:tplc="F3B88912">
      <w:start w:val="1"/>
      <w:numFmt w:val="lowerRoman"/>
      <w:lvlText w:val="%9."/>
      <w:lvlJc w:val="right"/>
      <w:pPr>
        <w:ind w:left="6480" w:hanging="180"/>
      </w:pPr>
    </w:lvl>
  </w:abstractNum>
  <w:abstractNum w:abstractNumId="7" w15:restartNumberingAfterBreak="0">
    <w:nsid w:val="3F4B5FA4"/>
    <w:multiLevelType w:val="hybridMultilevel"/>
    <w:tmpl w:val="AE6A9C3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0B6361B"/>
    <w:multiLevelType w:val="hybridMultilevel"/>
    <w:tmpl w:val="D39CA68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72C145A"/>
    <w:multiLevelType w:val="multilevel"/>
    <w:tmpl w:val="0422001F"/>
    <w:numStyleLink w:val="8"/>
  </w:abstractNum>
  <w:abstractNum w:abstractNumId="10" w15:restartNumberingAfterBreak="0">
    <w:nsid w:val="56CF7936"/>
    <w:multiLevelType w:val="multilevel"/>
    <w:tmpl w:val="0422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AFD6A7F"/>
    <w:multiLevelType w:val="multilevel"/>
    <w:tmpl w:val="0422001F"/>
    <w:numStyleLink w:val="9"/>
  </w:abstractNum>
  <w:abstractNum w:abstractNumId="12" w15:restartNumberingAfterBreak="0">
    <w:nsid w:val="638F2BAE"/>
    <w:multiLevelType w:val="hybridMultilevel"/>
    <w:tmpl w:val="BCA46398"/>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16cid:durableId="593782367">
    <w:abstractNumId w:val="6"/>
  </w:num>
  <w:num w:numId="2" w16cid:durableId="785468625">
    <w:abstractNumId w:val="3"/>
  </w:num>
  <w:num w:numId="3" w16cid:durableId="1963731826">
    <w:abstractNumId w:val="9"/>
  </w:num>
  <w:num w:numId="4" w16cid:durableId="748428291">
    <w:abstractNumId w:val="10"/>
  </w:num>
  <w:num w:numId="5" w16cid:durableId="1477257347">
    <w:abstractNumId w:val="4"/>
  </w:num>
  <w:num w:numId="6" w16cid:durableId="385105489">
    <w:abstractNumId w:val="11"/>
  </w:num>
  <w:num w:numId="7" w16cid:durableId="1132553881">
    <w:abstractNumId w:val="5"/>
  </w:num>
  <w:num w:numId="8" w16cid:durableId="571811416">
    <w:abstractNumId w:val="2"/>
  </w:num>
  <w:num w:numId="9" w16cid:durableId="1569222378">
    <w:abstractNumId w:val="7"/>
  </w:num>
  <w:num w:numId="10" w16cid:durableId="11809709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4277509">
    <w:abstractNumId w:val="1"/>
  </w:num>
  <w:num w:numId="12" w16cid:durableId="934677073">
    <w:abstractNumId w:val="8"/>
  </w:num>
  <w:num w:numId="13" w16cid:durableId="881406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0FD8B8E"/>
    <w:rsid w:val="00013211"/>
    <w:rsid w:val="0002781C"/>
    <w:rsid w:val="00033A3B"/>
    <w:rsid w:val="00055EE0"/>
    <w:rsid w:val="00070889"/>
    <w:rsid w:val="00090E0A"/>
    <w:rsid w:val="00094F61"/>
    <w:rsid w:val="000A385E"/>
    <w:rsid w:val="000B4E56"/>
    <w:rsid w:val="000C07FE"/>
    <w:rsid w:val="000D3455"/>
    <w:rsid w:val="000E34E0"/>
    <w:rsid w:val="000E4E2E"/>
    <w:rsid w:val="000E7E0A"/>
    <w:rsid w:val="000F7D2F"/>
    <w:rsid w:val="00111315"/>
    <w:rsid w:val="001121A8"/>
    <w:rsid w:val="0011261B"/>
    <w:rsid w:val="00145E43"/>
    <w:rsid w:val="001465A4"/>
    <w:rsid w:val="00150DF9"/>
    <w:rsid w:val="001548D9"/>
    <w:rsid w:val="001610CA"/>
    <w:rsid w:val="0016369D"/>
    <w:rsid w:val="00164636"/>
    <w:rsid w:val="00171187"/>
    <w:rsid w:val="00174D1D"/>
    <w:rsid w:val="001A2373"/>
    <w:rsid w:val="001D3771"/>
    <w:rsid w:val="00206FEC"/>
    <w:rsid w:val="00216246"/>
    <w:rsid w:val="002163BD"/>
    <w:rsid w:val="00234ED4"/>
    <w:rsid w:val="002457B9"/>
    <w:rsid w:val="00246B07"/>
    <w:rsid w:val="00266736"/>
    <w:rsid w:val="00280F34"/>
    <w:rsid w:val="00294CDC"/>
    <w:rsid w:val="002A56E1"/>
    <w:rsid w:val="002B0D27"/>
    <w:rsid w:val="002B3E58"/>
    <w:rsid w:val="002C2DDE"/>
    <w:rsid w:val="002C3773"/>
    <w:rsid w:val="002E5EEF"/>
    <w:rsid w:val="003017C2"/>
    <w:rsid w:val="00303ACA"/>
    <w:rsid w:val="00316C6F"/>
    <w:rsid w:val="0032574A"/>
    <w:rsid w:val="00330A56"/>
    <w:rsid w:val="00336E11"/>
    <w:rsid w:val="0034032E"/>
    <w:rsid w:val="00350BF2"/>
    <w:rsid w:val="0035636D"/>
    <w:rsid w:val="00372F43"/>
    <w:rsid w:val="0039158F"/>
    <w:rsid w:val="0039224D"/>
    <w:rsid w:val="003A1636"/>
    <w:rsid w:val="003C2AD8"/>
    <w:rsid w:val="003C6A81"/>
    <w:rsid w:val="003E3F90"/>
    <w:rsid w:val="003E7D1D"/>
    <w:rsid w:val="003F32FF"/>
    <w:rsid w:val="003F669F"/>
    <w:rsid w:val="003F678D"/>
    <w:rsid w:val="003F732A"/>
    <w:rsid w:val="004015B5"/>
    <w:rsid w:val="0041138F"/>
    <w:rsid w:val="00431AF1"/>
    <w:rsid w:val="00431CC7"/>
    <w:rsid w:val="00463D0C"/>
    <w:rsid w:val="004660A3"/>
    <w:rsid w:val="00473792"/>
    <w:rsid w:val="00483E17"/>
    <w:rsid w:val="004874A2"/>
    <w:rsid w:val="004A40B3"/>
    <w:rsid w:val="004B5D1B"/>
    <w:rsid w:val="004C1195"/>
    <w:rsid w:val="004D0568"/>
    <w:rsid w:val="004D2098"/>
    <w:rsid w:val="004D21B3"/>
    <w:rsid w:val="004E190C"/>
    <w:rsid w:val="004F0E18"/>
    <w:rsid w:val="004F2B68"/>
    <w:rsid w:val="00530E0F"/>
    <w:rsid w:val="00544996"/>
    <w:rsid w:val="005463CB"/>
    <w:rsid w:val="005468A4"/>
    <w:rsid w:val="005803F1"/>
    <w:rsid w:val="00583F99"/>
    <w:rsid w:val="005A6D1B"/>
    <w:rsid w:val="005A7BD1"/>
    <w:rsid w:val="005B408D"/>
    <w:rsid w:val="005D0B55"/>
    <w:rsid w:val="005D1C0F"/>
    <w:rsid w:val="00606CE8"/>
    <w:rsid w:val="00624E28"/>
    <w:rsid w:val="00634ED6"/>
    <w:rsid w:val="006451DF"/>
    <w:rsid w:val="006461B5"/>
    <w:rsid w:val="00663A02"/>
    <w:rsid w:val="00664669"/>
    <w:rsid w:val="00671787"/>
    <w:rsid w:val="006809EF"/>
    <w:rsid w:val="006953A8"/>
    <w:rsid w:val="006A7113"/>
    <w:rsid w:val="006E0AD8"/>
    <w:rsid w:val="006E16A3"/>
    <w:rsid w:val="006E59AE"/>
    <w:rsid w:val="006E7CE5"/>
    <w:rsid w:val="00706F02"/>
    <w:rsid w:val="00710A0E"/>
    <w:rsid w:val="00724E09"/>
    <w:rsid w:val="007854D4"/>
    <w:rsid w:val="00804FDE"/>
    <w:rsid w:val="008076E4"/>
    <w:rsid w:val="00814069"/>
    <w:rsid w:val="00832638"/>
    <w:rsid w:val="008361B2"/>
    <w:rsid w:val="008361EA"/>
    <w:rsid w:val="00877C73"/>
    <w:rsid w:val="0089203A"/>
    <w:rsid w:val="00897D55"/>
    <w:rsid w:val="008A1849"/>
    <w:rsid w:val="008A502D"/>
    <w:rsid w:val="008B0DDB"/>
    <w:rsid w:val="008B1609"/>
    <w:rsid w:val="008B22E4"/>
    <w:rsid w:val="008E2F15"/>
    <w:rsid w:val="008F1645"/>
    <w:rsid w:val="008F4B05"/>
    <w:rsid w:val="008F539F"/>
    <w:rsid w:val="009056E5"/>
    <w:rsid w:val="00905B42"/>
    <w:rsid w:val="00911182"/>
    <w:rsid w:val="0091433E"/>
    <w:rsid w:val="009258EE"/>
    <w:rsid w:val="00930C59"/>
    <w:rsid w:val="0095245B"/>
    <w:rsid w:val="00953369"/>
    <w:rsid w:val="009539B3"/>
    <w:rsid w:val="0095775E"/>
    <w:rsid w:val="00982799"/>
    <w:rsid w:val="00996CFC"/>
    <w:rsid w:val="009B7E6E"/>
    <w:rsid w:val="009C7D2A"/>
    <w:rsid w:val="009D6BF0"/>
    <w:rsid w:val="009D75DE"/>
    <w:rsid w:val="009D7743"/>
    <w:rsid w:val="009F5980"/>
    <w:rsid w:val="00A2001E"/>
    <w:rsid w:val="00A24B1A"/>
    <w:rsid w:val="00A36F43"/>
    <w:rsid w:val="00A448BC"/>
    <w:rsid w:val="00A60094"/>
    <w:rsid w:val="00AA4524"/>
    <w:rsid w:val="00AB0C3E"/>
    <w:rsid w:val="00AB6B2B"/>
    <w:rsid w:val="00AC1B3E"/>
    <w:rsid w:val="00AD419C"/>
    <w:rsid w:val="00AE40A9"/>
    <w:rsid w:val="00AE61E8"/>
    <w:rsid w:val="00AF2421"/>
    <w:rsid w:val="00AF3BA5"/>
    <w:rsid w:val="00B028B6"/>
    <w:rsid w:val="00B072BA"/>
    <w:rsid w:val="00B33BE9"/>
    <w:rsid w:val="00B611D1"/>
    <w:rsid w:val="00B81D47"/>
    <w:rsid w:val="00B8457D"/>
    <w:rsid w:val="00B902A6"/>
    <w:rsid w:val="00B96524"/>
    <w:rsid w:val="00BA612E"/>
    <w:rsid w:val="00BC079D"/>
    <w:rsid w:val="00BD256D"/>
    <w:rsid w:val="00BD4354"/>
    <w:rsid w:val="00C1270B"/>
    <w:rsid w:val="00C17D40"/>
    <w:rsid w:val="00C231C7"/>
    <w:rsid w:val="00C303AF"/>
    <w:rsid w:val="00C3340D"/>
    <w:rsid w:val="00C33641"/>
    <w:rsid w:val="00C45579"/>
    <w:rsid w:val="00C55137"/>
    <w:rsid w:val="00C82D5B"/>
    <w:rsid w:val="00C848B1"/>
    <w:rsid w:val="00C87BBB"/>
    <w:rsid w:val="00C90920"/>
    <w:rsid w:val="00CA3A5B"/>
    <w:rsid w:val="00CB12AF"/>
    <w:rsid w:val="00CD1D0C"/>
    <w:rsid w:val="00D27FA1"/>
    <w:rsid w:val="00D33CD2"/>
    <w:rsid w:val="00D44C65"/>
    <w:rsid w:val="00D555FA"/>
    <w:rsid w:val="00D5637D"/>
    <w:rsid w:val="00D774D3"/>
    <w:rsid w:val="00D96817"/>
    <w:rsid w:val="00DC241E"/>
    <w:rsid w:val="00DD1BC7"/>
    <w:rsid w:val="00DE0014"/>
    <w:rsid w:val="00DE6F4A"/>
    <w:rsid w:val="00DF20B2"/>
    <w:rsid w:val="00E01D2D"/>
    <w:rsid w:val="00E10D3E"/>
    <w:rsid w:val="00E26A29"/>
    <w:rsid w:val="00E60BF9"/>
    <w:rsid w:val="00E6709D"/>
    <w:rsid w:val="00E93B81"/>
    <w:rsid w:val="00E93F9C"/>
    <w:rsid w:val="00EA4303"/>
    <w:rsid w:val="00EA7A4D"/>
    <w:rsid w:val="00EB349D"/>
    <w:rsid w:val="00ED6523"/>
    <w:rsid w:val="00EF166B"/>
    <w:rsid w:val="00EFEAC4"/>
    <w:rsid w:val="00F0099B"/>
    <w:rsid w:val="00F17AA4"/>
    <w:rsid w:val="00F22D75"/>
    <w:rsid w:val="00F26855"/>
    <w:rsid w:val="00F37959"/>
    <w:rsid w:val="00F403FF"/>
    <w:rsid w:val="00F40D86"/>
    <w:rsid w:val="00F75DBF"/>
    <w:rsid w:val="00F9275E"/>
    <w:rsid w:val="00FA647E"/>
    <w:rsid w:val="00FB50CA"/>
    <w:rsid w:val="00FB6CF1"/>
    <w:rsid w:val="00FC1CE1"/>
    <w:rsid w:val="00FF0796"/>
    <w:rsid w:val="00FF744F"/>
    <w:rsid w:val="03070380"/>
    <w:rsid w:val="054551A9"/>
    <w:rsid w:val="0A4D492D"/>
    <w:rsid w:val="0ADC2E3E"/>
    <w:rsid w:val="0BE9198E"/>
    <w:rsid w:val="0E005E82"/>
    <w:rsid w:val="0F47D807"/>
    <w:rsid w:val="0F9C2EE3"/>
    <w:rsid w:val="10880450"/>
    <w:rsid w:val="10A36254"/>
    <w:rsid w:val="11A8601E"/>
    <w:rsid w:val="11CE6D34"/>
    <w:rsid w:val="136A3D95"/>
    <w:rsid w:val="160B7067"/>
    <w:rsid w:val="179EC020"/>
    <w:rsid w:val="197AD754"/>
    <w:rsid w:val="1CB0D9BD"/>
    <w:rsid w:val="1D554C81"/>
    <w:rsid w:val="1DFE1B86"/>
    <w:rsid w:val="1E6DBAC9"/>
    <w:rsid w:val="2464B1EA"/>
    <w:rsid w:val="2A33CF89"/>
    <w:rsid w:val="2AB33B70"/>
    <w:rsid w:val="2DDBD125"/>
    <w:rsid w:val="2E5F333E"/>
    <w:rsid w:val="2FB738C8"/>
    <w:rsid w:val="301FA6AA"/>
    <w:rsid w:val="3030AACC"/>
    <w:rsid w:val="3696DDFE"/>
    <w:rsid w:val="392E3991"/>
    <w:rsid w:val="39A1E5E5"/>
    <w:rsid w:val="3B248DE9"/>
    <w:rsid w:val="3C619894"/>
    <w:rsid w:val="3F17CE31"/>
    <w:rsid w:val="46674090"/>
    <w:rsid w:val="473063E1"/>
    <w:rsid w:val="4C735129"/>
    <w:rsid w:val="5059D85B"/>
    <w:rsid w:val="50FD8B8E"/>
    <w:rsid w:val="51C2F9E5"/>
    <w:rsid w:val="5340CC50"/>
    <w:rsid w:val="5361219C"/>
    <w:rsid w:val="546F5BBE"/>
    <w:rsid w:val="596898F8"/>
    <w:rsid w:val="5A5FF91A"/>
    <w:rsid w:val="5CDB6B07"/>
    <w:rsid w:val="5D2B0EF5"/>
    <w:rsid w:val="5D739256"/>
    <w:rsid w:val="6451DFFC"/>
    <w:rsid w:val="65EDB05D"/>
    <w:rsid w:val="6972EBA4"/>
    <w:rsid w:val="6E9A4A9F"/>
    <w:rsid w:val="71E98A22"/>
    <w:rsid w:val="72F4B96E"/>
    <w:rsid w:val="74B7F43F"/>
    <w:rsid w:val="75A11B47"/>
    <w:rsid w:val="7A16265F"/>
    <w:rsid w:val="7ADF2A64"/>
    <w:rsid w:val="7E3C802E"/>
    <w:rsid w:val="7ED61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FD8B8E"/>
  <w15:chartTrackingRefBased/>
  <w15:docId w15:val="{B9706A17-49E2-4159-A674-8D4C48AE2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7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customStyle="1" w:styleId="xparagraph">
    <w:name w:val="x_paragraph"/>
    <w:basedOn w:val="Normal"/>
    <w:rsid w:val="00832638"/>
    <w:pPr>
      <w:spacing w:before="100" w:beforeAutospacing="1" w:after="100" w:afterAutospacing="1" w:line="240" w:lineRule="auto"/>
    </w:pPr>
    <w:rPr>
      <w:rFonts w:ascii="Calibri" w:eastAsiaTheme="minorEastAsia" w:hAnsi="Calibri" w:cs="Calibri"/>
      <w:lang w:val="en-GB"/>
    </w:rPr>
  </w:style>
  <w:style w:type="numbering" w:customStyle="1" w:styleId="8">
    <w:name w:val="Стиль8"/>
    <w:uiPriority w:val="99"/>
    <w:rsid w:val="0034032E"/>
    <w:pPr>
      <w:numPr>
        <w:numId w:val="4"/>
      </w:numPr>
    </w:pPr>
  </w:style>
  <w:style w:type="numbering" w:customStyle="1" w:styleId="9">
    <w:name w:val="Стиль9"/>
    <w:uiPriority w:val="99"/>
    <w:rsid w:val="006451DF"/>
    <w:pPr>
      <w:numPr>
        <w:numId w:val="7"/>
      </w:numPr>
    </w:pPr>
  </w:style>
  <w:style w:type="character" w:customStyle="1" w:styleId="xnormaltextrun">
    <w:name w:val="x_normaltextrun"/>
    <w:basedOn w:val="DefaultParagraphFont"/>
    <w:rsid w:val="00D27FA1"/>
  </w:style>
  <w:style w:type="character" w:customStyle="1" w:styleId="xeop">
    <w:name w:val="x_eop"/>
    <w:basedOn w:val="DefaultParagraphFont"/>
    <w:rsid w:val="00706F02"/>
  </w:style>
  <w:style w:type="character" w:styleId="Strong">
    <w:name w:val="Strong"/>
    <w:basedOn w:val="DefaultParagraphFont"/>
    <w:uiPriority w:val="22"/>
    <w:qFormat/>
    <w:rsid w:val="00706F02"/>
    <w:rPr>
      <w:b/>
      <w:bCs/>
    </w:rPr>
  </w:style>
  <w:style w:type="paragraph" w:customStyle="1" w:styleId="xmsonormal">
    <w:name w:val="x_msonormal"/>
    <w:basedOn w:val="Normal"/>
    <w:rsid w:val="004D21B3"/>
    <w:pPr>
      <w:spacing w:after="0" w:line="240" w:lineRule="auto"/>
    </w:pPr>
    <w:rPr>
      <w:rFonts w:ascii="Calibri" w:hAnsi="Calibri" w:cs="Calibri"/>
      <w:lang w:val="en-GB" w:eastAsia="en-GB"/>
    </w:rPr>
  </w:style>
  <w:style w:type="paragraph" w:styleId="Header">
    <w:name w:val="header"/>
    <w:basedOn w:val="Normal"/>
    <w:link w:val="HeaderChar"/>
    <w:uiPriority w:val="99"/>
    <w:unhideWhenUsed/>
    <w:rsid w:val="00F17A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7AA4"/>
  </w:style>
  <w:style w:type="paragraph" w:styleId="Footer">
    <w:name w:val="footer"/>
    <w:basedOn w:val="Normal"/>
    <w:link w:val="FooterChar"/>
    <w:uiPriority w:val="99"/>
    <w:unhideWhenUsed/>
    <w:rsid w:val="00F17A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7AA4"/>
  </w:style>
  <w:style w:type="character" w:styleId="UnresolvedMention">
    <w:name w:val="Unresolved Mention"/>
    <w:basedOn w:val="DefaultParagraphFont"/>
    <w:uiPriority w:val="99"/>
    <w:semiHidden/>
    <w:unhideWhenUsed/>
    <w:rsid w:val="005A6D1B"/>
    <w:rPr>
      <w:color w:val="605E5C"/>
      <w:shd w:val="clear" w:color="auto" w:fill="E1DFDD"/>
    </w:rPr>
  </w:style>
  <w:style w:type="table" w:styleId="TableGrid">
    <w:name w:val="Table Grid"/>
    <w:basedOn w:val="TableNormal"/>
    <w:uiPriority w:val="59"/>
    <w:rsid w:val="00BD4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9224D"/>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sid w:val="0039224D"/>
    <w:rPr>
      <w:sz w:val="20"/>
      <w:szCs w:val="20"/>
      <w:lang w:val="en-GB"/>
    </w:rPr>
  </w:style>
  <w:style w:type="paragraph" w:styleId="CommentText">
    <w:name w:val="annotation text"/>
    <w:basedOn w:val="Normal"/>
    <w:link w:val="CommentTextChar"/>
    <w:uiPriority w:val="99"/>
    <w:unhideWhenUsed/>
    <w:rsid w:val="0039224D"/>
    <w:pPr>
      <w:spacing w:line="240" w:lineRule="auto"/>
    </w:pPr>
    <w:rPr>
      <w:sz w:val="20"/>
      <w:szCs w:val="20"/>
      <w:lang w:val="en-GB"/>
    </w:rPr>
  </w:style>
  <w:style w:type="character" w:customStyle="1" w:styleId="CommentTextChar">
    <w:name w:val="Comment Text Char"/>
    <w:basedOn w:val="DefaultParagraphFont"/>
    <w:link w:val="CommentText"/>
    <w:uiPriority w:val="99"/>
    <w:rsid w:val="0039224D"/>
    <w:rPr>
      <w:sz w:val="20"/>
      <w:szCs w:val="20"/>
      <w:lang w:val="en-GB"/>
    </w:rPr>
  </w:style>
  <w:style w:type="character" w:styleId="FootnoteReference">
    <w:name w:val="footnote reference"/>
    <w:basedOn w:val="DefaultParagraphFont"/>
    <w:uiPriority w:val="99"/>
    <w:semiHidden/>
    <w:unhideWhenUsed/>
    <w:rsid w:val="0039224D"/>
    <w:rPr>
      <w:vertAlign w:val="superscript"/>
    </w:rPr>
  </w:style>
  <w:style w:type="character" w:styleId="CommentReference">
    <w:name w:val="annotation reference"/>
    <w:basedOn w:val="DefaultParagraphFont"/>
    <w:uiPriority w:val="99"/>
    <w:semiHidden/>
    <w:unhideWhenUsed/>
    <w:rsid w:val="00206FEC"/>
    <w:rPr>
      <w:sz w:val="16"/>
      <w:szCs w:val="16"/>
    </w:rPr>
  </w:style>
  <w:style w:type="paragraph" w:styleId="CommentSubject">
    <w:name w:val="annotation subject"/>
    <w:basedOn w:val="CommentText"/>
    <w:next w:val="CommentText"/>
    <w:link w:val="CommentSubjectChar"/>
    <w:uiPriority w:val="99"/>
    <w:semiHidden/>
    <w:unhideWhenUsed/>
    <w:rsid w:val="00206FEC"/>
    <w:rPr>
      <w:b/>
      <w:bCs/>
      <w:lang w:val="en-US"/>
    </w:rPr>
  </w:style>
  <w:style w:type="character" w:customStyle="1" w:styleId="CommentSubjectChar">
    <w:name w:val="Comment Subject Char"/>
    <w:basedOn w:val="CommentTextChar"/>
    <w:link w:val="CommentSubject"/>
    <w:uiPriority w:val="99"/>
    <w:semiHidden/>
    <w:rsid w:val="00206FEC"/>
    <w:rPr>
      <w:b/>
      <w:bCs/>
      <w:sz w:val="20"/>
      <w:szCs w:val="20"/>
      <w:lang w:val="en-GB"/>
    </w:rPr>
  </w:style>
  <w:style w:type="paragraph" w:styleId="BalloonText">
    <w:name w:val="Balloon Text"/>
    <w:basedOn w:val="Normal"/>
    <w:link w:val="BalloonTextChar"/>
    <w:uiPriority w:val="99"/>
    <w:semiHidden/>
    <w:unhideWhenUsed/>
    <w:rsid w:val="00033A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3A3B"/>
    <w:rPr>
      <w:rFonts w:ascii="Segoe UI" w:hAnsi="Segoe UI" w:cs="Segoe UI"/>
      <w:sz w:val="18"/>
      <w:szCs w:val="18"/>
    </w:rPr>
  </w:style>
  <w:style w:type="paragraph" w:styleId="Revision">
    <w:name w:val="Revision"/>
    <w:hidden/>
    <w:uiPriority w:val="99"/>
    <w:semiHidden/>
    <w:rsid w:val="00AD419C"/>
    <w:pPr>
      <w:spacing w:after="0" w:line="240" w:lineRule="auto"/>
    </w:pPr>
  </w:style>
  <w:style w:type="paragraph" w:customStyle="1" w:styleId="pf0">
    <w:name w:val="pf0"/>
    <w:basedOn w:val="Normal"/>
    <w:rsid w:val="00A200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f01">
    <w:name w:val="cf01"/>
    <w:basedOn w:val="DefaultParagraphFont"/>
    <w:rsid w:val="00A2001E"/>
    <w:rPr>
      <w:rFonts w:ascii="Segoe UI" w:hAnsi="Segoe UI" w:cs="Segoe UI" w:hint="default"/>
      <w:sz w:val="18"/>
      <w:szCs w:val="18"/>
    </w:rPr>
  </w:style>
  <w:style w:type="table" w:customStyle="1" w:styleId="ListTable3-Accent31">
    <w:name w:val="List Table 3 - Accent 31"/>
    <w:basedOn w:val="TableNormal"/>
    <w:uiPriority w:val="48"/>
    <w:rsid w:val="002B3E58"/>
    <w:pPr>
      <w:spacing w:after="0" w:line="240" w:lineRule="auto"/>
    </w:pPr>
    <w:rPr>
      <w:lang w:val="en-GB"/>
    </w:rPr>
    <w:tblPr>
      <w:tblStyleRowBandSize w:val="1"/>
      <w:tblStyleColBandSize w:val="1"/>
      <w:tblBorders>
        <w:top w:val="single" w:sz="4" w:space="0" w:color="7CBE31"/>
        <w:left w:val="single" w:sz="4" w:space="0" w:color="7CBE31"/>
        <w:bottom w:val="single" w:sz="4" w:space="0" w:color="7CBE31"/>
        <w:right w:val="single" w:sz="4" w:space="0" w:color="7CBE31"/>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HTMLPreformatted">
    <w:name w:val="HTML Preformatted"/>
    <w:basedOn w:val="Normal"/>
    <w:link w:val="HTMLPreformattedChar"/>
    <w:unhideWhenUsed/>
    <w:rsid w:val="00466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en-GB"/>
    </w:rPr>
  </w:style>
  <w:style w:type="character" w:customStyle="1" w:styleId="HTMLPreformattedChar">
    <w:name w:val="HTML Preformatted Char"/>
    <w:basedOn w:val="DefaultParagraphFont"/>
    <w:link w:val="HTMLPreformatted"/>
    <w:rsid w:val="004660A3"/>
    <w:rPr>
      <w:rFonts w:ascii="Courier New" w:eastAsia="Times New Roman" w:hAnsi="Courier New" w:cs="Times New Roman"/>
      <w:sz w:val="20"/>
      <w:szCs w:val="20"/>
      <w:lang w:val="x-none" w:eastAsia="en-GB"/>
    </w:rPr>
  </w:style>
  <w:style w:type="paragraph" w:customStyle="1" w:styleId="xmsolistparagraph">
    <w:name w:val="x_msolistparagraph"/>
    <w:basedOn w:val="Normal"/>
    <w:rsid w:val="00F0099B"/>
    <w:pPr>
      <w:spacing w:after="0" w:line="240" w:lineRule="auto"/>
      <w:ind w:left="720"/>
    </w:pPr>
    <w:rPr>
      <w:rFonts w:ascii="Calibri" w:hAnsi="Calibri" w:cs="Calibr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7045878">
      <w:bodyDiv w:val="1"/>
      <w:marLeft w:val="0"/>
      <w:marRight w:val="0"/>
      <w:marTop w:val="0"/>
      <w:marBottom w:val="0"/>
      <w:divBdr>
        <w:top w:val="none" w:sz="0" w:space="0" w:color="auto"/>
        <w:left w:val="none" w:sz="0" w:space="0" w:color="auto"/>
        <w:bottom w:val="none" w:sz="0" w:space="0" w:color="auto"/>
        <w:right w:val="none" w:sz="0" w:space="0" w:color="auto"/>
      </w:divBdr>
      <w:divsChild>
        <w:div w:id="1459689561">
          <w:marLeft w:val="475"/>
          <w:marRight w:val="0"/>
          <w:marTop w:val="82"/>
          <w:marBottom w:val="120"/>
          <w:divBdr>
            <w:top w:val="none" w:sz="0" w:space="0" w:color="auto"/>
            <w:left w:val="none" w:sz="0" w:space="0" w:color="auto"/>
            <w:bottom w:val="none" w:sz="0" w:space="0" w:color="auto"/>
            <w:right w:val="none" w:sz="0" w:space="0" w:color="auto"/>
          </w:divBdr>
        </w:div>
      </w:divsChild>
    </w:div>
    <w:div w:id="1184512003">
      <w:bodyDiv w:val="1"/>
      <w:marLeft w:val="0"/>
      <w:marRight w:val="0"/>
      <w:marTop w:val="0"/>
      <w:marBottom w:val="0"/>
      <w:divBdr>
        <w:top w:val="none" w:sz="0" w:space="0" w:color="auto"/>
        <w:left w:val="none" w:sz="0" w:space="0" w:color="auto"/>
        <w:bottom w:val="none" w:sz="0" w:space="0" w:color="auto"/>
        <w:right w:val="none" w:sz="0" w:space="0" w:color="auto"/>
      </w:divBdr>
    </w:div>
    <w:div w:id="1288198825">
      <w:bodyDiv w:val="1"/>
      <w:marLeft w:val="0"/>
      <w:marRight w:val="0"/>
      <w:marTop w:val="0"/>
      <w:marBottom w:val="0"/>
      <w:divBdr>
        <w:top w:val="none" w:sz="0" w:space="0" w:color="auto"/>
        <w:left w:val="none" w:sz="0" w:space="0" w:color="auto"/>
        <w:bottom w:val="none" w:sz="0" w:space="0" w:color="auto"/>
        <w:right w:val="none" w:sz="0" w:space="0" w:color="auto"/>
      </w:divBdr>
    </w:div>
    <w:div w:id="1298879259">
      <w:bodyDiv w:val="1"/>
      <w:marLeft w:val="0"/>
      <w:marRight w:val="0"/>
      <w:marTop w:val="0"/>
      <w:marBottom w:val="0"/>
      <w:divBdr>
        <w:top w:val="none" w:sz="0" w:space="0" w:color="auto"/>
        <w:left w:val="none" w:sz="0" w:space="0" w:color="auto"/>
        <w:bottom w:val="none" w:sz="0" w:space="0" w:color="auto"/>
        <w:right w:val="none" w:sz="0" w:space="0" w:color="auto"/>
      </w:divBdr>
    </w:div>
    <w:div w:id="1403023443">
      <w:bodyDiv w:val="1"/>
      <w:marLeft w:val="0"/>
      <w:marRight w:val="0"/>
      <w:marTop w:val="0"/>
      <w:marBottom w:val="0"/>
      <w:divBdr>
        <w:top w:val="none" w:sz="0" w:space="0" w:color="auto"/>
        <w:left w:val="none" w:sz="0" w:space="0" w:color="auto"/>
        <w:bottom w:val="none" w:sz="0" w:space="0" w:color="auto"/>
        <w:right w:val="none" w:sz="0" w:space="0" w:color="auto"/>
      </w:divBdr>
    </w:div>
    <w:div w:id="199533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gul.ac.uk/about/our-professional-services/quality-and-partnerships-directorate/documents/quality-manual/Section-K-Recognition-of-prior-learning.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6ae2152-a975-44c0-ae6f-1ff3e99562d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06A1D0531E79B4AA06B0B2311FCEB14" ma:contentTypeVersion="17" ma:contentTypeDescription="Create a new document." ma:contentTypeScope="" ma:versionID="6a5abd0a96e6b92d48e57c9a36d1a614">
  <xsd:schema xmlns:xsd="http://www.w3.org/2001/XMLSchema" xmlns:xs="http://www.w3.org/2001/XMLSchema" xmlns:p="http://schemas.microsoft.com/office/2006/metadata/properties" xmlns:ns3="68ce5fda-5262-4591-b3e3-05d886feccf2" xmlns:ns4="a6ae2152-a975-44c0-ae6f-1ff3e99562d0" targetNamespace="http://schemas.microsoft.com/office/2006/metadata/properties" ma:root="true" ma:fieldsID="84159c2fbac7569dd4ee3fbd45dae769" ns3:_="" ns4:_="">
    <xsd:import namespace="68ce5fda-5262-4591-b3e3-05d886feccf2"/>
    <xsd:import namespace="a6ae2152-a975-44c0-ae6f-1ff3e99562d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ce5fda-5262-4591-b3e3-05d886feccf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ae2152-a975-44c0-ae6f-1ff3e99562d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B615C4-DC5B-4E32-A62D-44E22F239EAA}">
  <ds:schemaRefs>
    <ds:schemaRef ds:uri="http://schemas.microsoft.com/office/2006/metadata/properties"/>
    <ds:schemaRef ds:uri="http://schemas.microsoft.com/office/infopath/2007/PartnerControls"/>
    <ds:schemaRef ds:uri="a6ae2152-a975-44c0-ae6f-1ff3e99562d0"/>
  </ds:schemaRefs>
</ds:datastoreItem>
</file>

<file path=customXml/itemProps2.xml><?xml version="1.0" encoding="utf-8"?>
<ds:datastoreItem xmlns:ds="http://schemas.openxmlformats.org/officeDocument/2006/customXml" ds:itemID="{11132269-ABC2-4AE0-BFBF-B3F8CD70E778}">
  <ds:schemaRefs>
    <ds:schemaRef ds:uri="http://schemas.openxmlformats.org/officeDocument/2006/bibliography"/>
  </ds:schemaRefs>
</ds:datastoreItem>
</file>

<file path=customXml/itemProps3.xml><?xml version="1.0" encoding="utf-8"?>
<ds:datastoreItem xmlns:ds="http://schemas.openxmlformats.org/officeDocument/2006/customXml" ds:itemID="{8101C60C-FA82-48B6-B01C-B8E6D852A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ce5fda-5262-4591-b3e3-05d886feccf2"/>
    <ds:schemaRef ds:uri="a6ae2152-a975-44c0-ae6f-1ff3e99562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D0AD75-C7D9-4255-9CA6-17874A4C0E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9</Pages>
  <Words>2742</Words>
  <Characters>15634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A17 Common Modular Framework</dc:title>
  <dc:subject>
  </dc:subject>
  <dc:creator>Derek Baldwinson</dc:creator>
  <cp:keywords>
  </cp:keywords>
  <dc:description>
  </dc:description>
  <cp:lastModifiedBy>Giulia Sparacino</cp:lastModifiedBy>
  <cp:revision>6</cp:revision>
  <dcterms:created xsi:type="dcterms:W3CDTF">2024-01-29T11:39:00Z</dcterms:created>
  <dcterms:modified xsi:type="dcterms:W3CDTF">2024-08-01T12:05:06Z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0x010100206A1D0531E79B4AA06B0B2311FCEB14</vt:lpwstr>
  </property>
</Properties>
</file>