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2778" w:rsidR="005E49A4" w:rsidP="00851957" w:rsidRDefault="00A95656" w14:paraId="6D660585" w14:textId="77777777">
      <w:pPr>
        <w:pBdr>
          <w:bottom w:val="threeDEmboss" w:color="auto" w:sz="6" w:space="1"/>
        </w:pBdr>
        <w:rPr>
          <w:rFonts w:ascii="Calibri" w:hAnsi="Calibri" w:cs="Calibri"/>
          <w:b/>
          <w:smallCaps/>
          <w:sz w:val="22"/>
          <w:szCs w:val="22"/>
          <w:lang w:eastAsia="en-GB"/>
        </w:rPr>
      </w:pPr>
      <w:r w:rsidRPr="00F62778">
        <w:rPr>
          <w:rFonts w:ascii="Calibri" w:hAnsi="Calibri" w:cs="Calibri"/>
          <w:b/>
          <w:smallCaps/>
          <w:sz w:val="22"/>
          <w:szCs w:val="22"/>
          <w:lang w:eastAsia="en-GB"/>
        </w:rPr>
        <w:t>External</w:t>
      </w:r>
      <w:r w:rsidRPr="00F62778" w:rsidR="005E49A4">
        <w:rPr>
          <w:rFonts w:ascii="Calibri" w:hAnsi="Calibri" w:cs="Calibri"/>
          <w:b/>
          <w:smallCaps/>
          <w:sz w:val="22"/>
          <w:szCs w:val="22"/>
          <w:lang w:eastAsia="en-GB"/>
        </w:rPr>
        <w:t xml:space="preserve"> Examiner reports procedures</w:t>
      </w:r>
    </w:p>
    <w:p w:rsidRPr="00F62778" w:rsidR="005E49A4" w:rsidRDefault="005E49A4" w14:paraId="7DEE9E52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RDefault="005E49A4" w14:paraId="463CBC48" w14:textId="77777777">
      <w:pPr>
        <w:pStyle w:val="Heading1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Initial receipt of reports</w:t>
      </w:r>
    </w:p>
    <w:p w:rsidRPr="00F62778" w:rsidR="005E49A4" w:rsidRDefault="005E49A4" w14:paraId="230FDFD0" w14:textId="77777777">
      <w:pPr>
        <w:rPr>
          <w:rFonts w:ascii="Calibri" w:hAnsi="Calibri" w:cs="Calibri"/>
          <w:sz w:val="22"/>
          <w:szCs w:val="22"/>
        </w:rPr>
      </w:pPr>
    </w:p>
    <w:p w:rsidR="002862B7" w:rsidP="00F62700" w:rsidRDefault="005E49A4" w14:paraId="3309F73E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All </w:t>
      </w:r>
      <w:r w:rsidRPr="00F62778" w:rsidR="00E72D65">
        <w:rPr>
          <w:rFonts w:ascii="Calibri" w:hAnsi="Calibri" w:cs="Calibri"/>
          <w:sz w:val="22"/>
          <w:szCs w:val="22"/>
        </w:rPr>
        <w:t>External</w:t>
      </w:r>
      <w:r w:rsidRPr="00F62778">
        <w:rPr>
          <w:rFonts w:ascii="Calibri" w:hAnsi="Calibri" w:cs="Calibri"/>
          <w:sz w:val="22"/>
          <w:szCs w:val="22"/>
        </w:rPr>
        <w:t xml:space="preserve"> Examiners’ reports </w:t>
      </w:r>
      <w:r w:rsidR="002862B7">
        <w:rPr>
          <w:rFonts w:ascii="Calibri" w:hAnsi="Calibri" w:cs="Calibri"/>
          <w:sz w:val="22"/>
          <w:szCs w:val="22"/>
        </w:rPr>
        <w:t xml:space="preserve">are usually received by </w:t>
      </w:r>
    </w:p>
    <w:p w:rsidRPr="00F62778" w:rsidR="002862B7" w:rsidP="002862B7" w:rsidRDefault="002862B7" w14:paraId="205EE6B5" w14:textId="77777777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The Examinations Administrator - For all undergraduate courses (including the Dip/BSc Health Care Practice),</w:t>
      </w:r>
      <w:r w:rsidRPr="00F62778">
        <w:rPr>
          <w:rFonts w:ascii="Calibri" w:hAnsi="Calibri" w:cs="Calibri"/>
          <w:sz w:val="22"/>
          <w:szCs w:val="22"/>
        </w:rPr>
        <w:tab/>
      </w:r>
    </w:p>
    <w:p w:rsidR="002862B7" w:rsidP="002862B7" w:rsidRDefault="002862B7" w14:paraId="73C577C8" w14:textId="77777777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2862B7">
        <w:rPr>
          <w:rFonts w:ascii="Calibri" w:hAnsi="Calibri" w:cs="Calibri"/>
          <w:sz w:val="22"/>
          <w:szCs w:val="22"/>
        </w:rPr>
        <w:t xml:space="preserve">Head of Postgraduate Administration - For taught postgraduate courses. </w:t>
      </w:r>
    </w:p>
    <w:p w:rsidRPr="002862B7" w:rsidR="002862B7" w:rsidP="002862B7" w:rsidRDefault="002862B7" w14:paraId="79911F2D" w14:textId="77777777">
      <w:pPr>
        <w:ind w:left="792"/>
        <w:rPr>
          <w:rFonts w:ascii="Calibri" w:hAnsi="Calibri" w:cs="Calibri"/>
          <w:sz w:val="22"/>
          <w:szCs w:val="22"/>
        </w:rPr>
      </w:pPr>
    </w:p>
    <w:p w:rsidR="00F62700" w:rsidP="00F62700" w:rsidRDefault="002862B7" w14:paraId="4F65F45D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Reports are forwarded to the Quality and Partnerships Directorate for acknowledgement on behalf of the </w:t>
      </w:r>
      <w:r w:rsidRPr="0066563A" w:rsidR="0066563A">
        <w:rPr>
          <w:rFonts w:ascii="Calibri" w:hAnsi="Calibri" w:cs="Calibri"/>
          <w:sz w:val="22"/>
          <w:szCs w:val="22"/>
        </w:rPr>
        <w:t>Vice-Chancellor</w:t>
      </w:r>
      <w:r>
        <w:rPr>
          <w:rFonts w:ascii="Calibri" w:hAnsi="Calibri" w:cs="Calibri"/>
          <w:sz w:val="22"/>
          <w:szCs w:val="22"/>
        </w:rPr>
        <w:t xml:space="preserve">. </w:t>
      </w:r>
      <w:r w:rsidRPr="00F62778" w:rsidR="00781042">
        <w:rPr>
          <w:rFonts w:ascii="Calibri" w:hAnsi="Calibri" w:cs="Calibri"/>
          <w:sz w:val="22"/>
          <w:szCs w:val="22"/>
        </w:rPr>
        <w:t xml:space="preserve">Reports are </w:t>
      </w:r>
      <w:r>
        <w:rPr>
          <w:rFonts w:ascii="Calibri" w:hAnsi="Calibri" w:cs="Calibri"/>
          <w:sz w:val="22"/>
          <w:szCs w:val="22"/>
        </w:rPr>
        <w:t>also screened by the</w:t>
      </w:r>
      <w:r w:rsidRPr="00F62778" w:rsidR="005E49A4">
        <w:rPr>
          <w:rFonts w:ascii="Calibri" w:hAnsi="Calibri" w:cs="Calibri"/>
          <w:sz w:val="22"/>
          <w:szCs w:val="22"/>
        </w:rPr>
        <w:t xml:space="preserve"> </w:t>
      </w:r>
      <w:r w:rsidRPr="00F62778" w:rsidR="009A77F3">
        <w:rPr>
          <w:rFonts w:ascii="Calibri" w:hAnsi="Calibri" w:cs="Calibri"/>
          <w:sz w:val="22"/>
          <w:szCs w:val="22"/>
        </w:rPr>
        <w:t>Director of Quality and Partnerships</w:t>
      </w:r>
      <w:r w:rsidRPr="00F62778" w:rsidR="00451C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 identify issues that require immediate investigation</w:t>
      </w:r>
      <w:r w:rsidRPr="00F62778" w:rsidR="00451CDB">
        <w:rPr>
          <w:rFonts w:ascii="Calibri" w:hAnsi="Calibri" w:cs="Calibri"/>
          <w:sz w:val="22"/>
          <w:szCs w:val="22"/>
        </w:rPr>
        <w:t xml:space="preserve">.  </w:t>
      </w:r>
    </w:p>
    <w:p w:rsidRPr="00F62778" w:rsidR="00465808" w:rsidP="00465808" w:rsidRDefault="00465808" w14:paraId="155C66BC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RDefault="005E49A4" w14:paraId="14DDF0B3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>Circulation of reports</w:t>
      </w:r>
    </w:p>
    <w:p w:rsidRPr="00F62778" w:rsidR="005E49A4" w:rsidRDefault="005E49A4" w14:paraId="2167B18F" w14:textId="77777777">
      <w:pPr>
        <w:rPr>
          <w:rFonts w:ascii="Calibri" w:hAnsi="Calibri" w:cs="Calibri"/>
          <w:sz w:val="22"/>
          <w:szCs w:val="22"/>
        </w:rPr>
      </w:pPr>
    </w:p>
    <w:p w:rsidRPr="00F62778" w:rsidR="00F62700" w:rsidP="00F62700" w:rsidRDefault="009A7063" w14:paraId="22138D13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Reports will be circulated as soon as it is practically possible to do so</w:t>
      </w:r>
      <w:r w:rsidRPr="00F62778" w:rsidR="00806134">
        <w:rPr>
          <w:rFonts w:ascii="Calibri" w:hAnsi="Calibri" w:cs="Calibri"/>
          <w:sz w:val="22"/>
          <w:szCs w:val="22"/>
        </w:rPr>
        <w:t xml:space="preserve"> by the Examinations Administrator and </w:t>
      </w:r>
      <w:r w:rsidR="002862B7">
        <w:rPr>
          <w:rFonts w:ascii="Calibri" w:hAnsi="Calibri" w:cs="Calibri"/>
          <w:sz w:val="22"/>
          <w:szCs w:val="22"/>
        </w:rPr>
        <w:t>Head of Postgraduate Information</w:t>
      </w:r>
      <w:r w:rsidRPr="00F62778">
        <w:rPr>
          <w:rFonts w:ascii="Calibri" w:hAnsi="Calibri" w:cs="Calibri"/>
          <w:sz w:val="22"/>
          <w:szCs w:val="22"/>
        </w:rPr>
        <w:t xml:space="preserve">. </w:t>
      </w:r>
      <w:r w:rsidRPr="00F62778" w:rsidR="005E49A4">
        <w:rPr>
          <w:rFonts w:ascii="Calibri" w:hAnsi="Calibri" w:cs="Calibri"/>
          <w:sz w:val="22"/>
          <w:szCs w:val="22"/>
        </w:rPr>
        <w:t xml:space="preserve">Circulation of reports will reflect the issues raised by </w:t>
      </w:r>
      <w:r w:rsidRPr="00F62778" w:rsidR="00E72D65">
        <w:rPr>
          <w:rFonts w:ascii="Calibri" w:hAnsi="Calibri" w:cs="Calibri"/>
          <w:sz w:val="22"/>
          <w:szCs w:val="22"/>
        </w:rPr>
        <w:t xml:space="preserve">external </w:t>
      </w:r>
      <w:r w:rsidRPr="00F62778" w:rsidR="005E49A4">
        <w:rPr>
          <w:rFonts w:ascii="Calibri" w:hAnsi="Calibri" w:cs="Calibri"/>
          <w:sz w:val="22"/>
          <w:szCs w:val="22"/>
        </w:rPr>
        <w:t>examiners</w:t>
      </w:r>
      <w:r w:rsidRPr="00F62778" w:rsidR="00B22AF3">
        <w:rPr>
          <w:rFonts w:ascii="Calibri" w:hAnsi="Calibri" w:cs="Calibri"/>
          <w:sz w:val="22"/>
          <w:szCs w:val="22"/>
        </w:rPr>
        <w:t xml:space="preserve">; reports containing significant </w:t>
      </w:r>
      <w:r w:rsidRPr="00F62778" w:rsidR="00F62700">
        <w:rPr>
          <w:rFonts w:ascii="Calibri" w:hAnsi="Calibri" w:cs="Calibri"/>
          <w:sz w:val="22"/>
          <w:szCs w:val="22"/>
        </w:rPr>
        <w:t xml:space="preserve">or specific </w:t>
      </w:r>
      <w:r w:rsidRPr="00F62778" w:rsidR="005E49A4">
        <w:rPr>
          <w:rFonts w:ascii="Calibri" w:hAnsi="Calibri" w:cs="Calibri"/>
          <w:sz w:val="22"/>
          <w:szCs w:val="22"/>
        </w:rPr>
        <w:t xml:space="preserve">issues </w:t>
      </w:r>
      <w:r w:rsidRPr="00F62778" w:rsidR="00B22AF3">
        <w:rPr>
          <w:rFonts w:ascii="Calibri" w:hAnsi="Calibri" w:cs="Calibri"/>
          <w:sz w:val="22"/>
          <w:szCs w:val="22"/>
        </w:rPr>
        <w:t>will be given a wider circulation</w:t>
      </w:r>
      <w:r w:rsidRPr="00F62778" w:rsidR="00F62700">
        <w:rPr>
          <w:rFonts w:ascii="Calibri" w:hAnsi="Calibri" w:cs="Calibri"/>
          <w:sz w:val="22"/>
          <w:szCs w:val="22"/>
        </w:rPr>
        <w:t xml:space="preserve">.  </w:t>
      </w:r>
      <w:r w:rsidRPr="00F62778" w:rsidR="009A51CF">
        <w:rPr>
          <w:rFonts w:ascii="Calibri" w:hAnsi="Calibri" w:cs="Calibri"/>
          <w:sz w:val="22"/>
          <w:szCs w:val="22"/>
        </w:rPr>
        <w:t xml:space="preserve">The </w:t>
      </w:r>
      <w:r w:rsidRPr="00F62778" w:rsidR="00806134">
        <w:rPr>
          <w:rFonts w:ascii="Calibri" w:hAnsi="Calibri" w:cs="Calibri"/>
          <w:sz w:val="22"/>
          <w:szCs w:val="22"/>
        </w:rPr>
        <w:t xml:space="preserve">Director of Quality and Partnerships </w:t>
      </w:r>
      <w:r w:rsidRPr="00F62778" w:rsidR="00B22AF3">
        <w:rPr>
          <w:rFonts w:ascii="Calibri" w:hAnsi="Calibri"/>
          <w:sz w:val="22"/>
          <w:szCs w:val="22"/>
          <w:lang w:eastAsia="en-GB"/>
        </w:rPr>
        <w:t xml:space="preserve">will </w:t>
      </w:r>
      <w:r w:rsidRPr="00F62778" w:rsidR="00C542C0">
        <w:rPr>
          <w:rFonts w:ascii="Calibri" w:hAnsi="Calibri"/>
          <w:sz w:val="22"/>
          <w:szCs w:val="22"/>
          <w:lang w:eastAsia="en-GB"/>
        </w:rPr>
        <w:t xml:space="preserve">decide </w:t>
      </w:r>
      <w:r w:rsidRPr="00F62778" w:rsidR="00806134">
        <w:rPr>
          <w:rFonts w:ascii="Calibri" w:hAnsi="Calibri"/>
          <w:sz w:val="22"/>
          <w:szCs w:val="22"/>
          <w:lang w:eastAsia="en-GB"/>
        </w:rPr>
        <w:t>if</w:t>
      </w:r>
      <w:r w:rsidRPr="00F62778" w:rsidR="00B22AF3">
        <w:rPr>
          <w:rFonts w:ascii="Calibri" w:hAnsi="Calibri"/>
          <w:sz w:val="22"/>
          <w:szCs w:val="22"/>
          <w:lang w:eastAsia="en-GB"/>
        </w:rPr>
        <w:t xml:space="preserve"> reports will be circulated</w:t>
      </w:r>
      <w:r w:rsidRPr="00F62778" w:rsidR="00492BB8">
        <w:rPr>
          <w:rFonts w:ascii="Calibri" w:hAnsi="Calibri"/>
          <w:sz w:val="22"/>
          <w:szCs w:val="22"/>
          <w:lang w:eastAsia="en-GB"/>
        </w:rPr>
        <w:t xml:space="preserve"> beyond the Course Teams and assessment leads</w:t>
      </w:r>
      <w:r w:rsidR="002862B7">
        <w:rPr>
          <w:rFonts w:ascii="Calibri" w:hAnsi="Calibri"/>
          <w:sz w:val="22"/>
          <w:szCs w:val="22"/>
          <w:lang w:eastAsia="en-GB"/>
        </w:rPr>
        <w:t xml:space="preserve"> following initial screening (see paragraph 2)</w:t>
      </w:r>
      <w:r w:rsidRPr="00F62778" w:rsidR="00F62700">
        <w:rPr>
          <w:rFonts w:ascii="Calibri" w:hAnsi="Calibri" w:cs="Calibri"/>
          <w:sz w:val="22"/>
          <w:szCs w:val="22"/>
        </w:rPr>
        <w:t xml:space="preserve">. </w:t>
      </w:r>
    </w:p>
    <w:p w:rsidRPr="00F62778" w:rsidR="00F62700" w:rsidP="00F62700" w:rsidRDefault="00F62700" w14:paraId="6317C860" w14:textId="77777777">
      <w:pPr>
        <w:ind w:left="360"/>
        <w:rPr>
          <w:rFonts w:ascii="Calibri" w:hAnsi="Calibri" w:cs="Calibri"/>
          <w:sz w:val="22"/>
          <w:szCs w:val="22"/>
        </w:rPr>
      </w:pPr>
    </w:p>
    <w:p w:rsidRPr="00F62778" w:rsidR="00F62700" w:rsidP="00F62700" w:rsidRDefault="00F62700" w14:paraId="226EE6BD" w14:textId="77777777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  <w:u w:val="single"/>
        </w:rPr>
        <w:t>MBBS</w:t>
      </w:r>
    </w:p>
    <w:p w:rsidRPr="00F62778" w:rsidR="00F62700" w:rsidP="002777E6" w:rsidRDefault="005E49A4" w14:paraId="1396AEAA" w14:textId="77777777">
      <w:pPr>
        <w:ind w:firstLine="720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All reports will be routinely circulated to</w:t>
      </w:r>
    </w:p>
    <w:p w:rsidRPr="00F62778" w:rsidR="00F62700" w:rsidP="002777E6" w:rsidRDefault="00451CDB" w14:paraId="16B7669C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Mr Kevin Hayes, </w:t>
      </w:r>
      <w:r w:rsidRPr="00F62778" w:rsidR="00F62700">
        <w:rPr>
          <w:rFonts w:ascii="Calibri" w:hAnsi="Calibri" w:cs="Calibri"/>
          <w:sz w:val="22"/>
          <w:szCs w:val="22"/>
        </w:rPr>
        <w:t xml:space="preserve"> Head of Assessment</w:t>
      </w:r>
      <w:r w:rsidRPr="00F62778">
        <w:rPr>
          <w:rFonts w:ascii="Calibri" w:hAnsi="Calibri" w:cs="Calibri"/>
          <w:sz w:val="22"/>
          <w:szCs w:val="22"/>
        </w:rPr>
        <w:t xml:space="preserve"> </w:t>
      </w:r>
    </w:p>
    <w:p w:rsidRPr="00F62778" w:rsidR="00F62700" w:rsidP="002777E6" w:rsidRDefault="00F62700" w14:paraId="14E820A7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The Chief and Responsible Examiners</w:t>
      </w:r>
    </w:p>
    <w:p w:rsidRPr="00F62778" w:rsidR="000944F6" w:rsidP="002777E6" w:rsidRDefault="00F62700" w14:paraId="28396011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T</w:t>
      </w:r>
      <w:r w:rsidRPr="00F62778" w:rsidR="000944F6">
        <w:rPr>
          <w:rFonts w:ascii="Calibri" w:hAnsi="Calibri" w:cs="Calibri"/>
          <w:sz w:val="22"/>
          <w:szCs w:val="22"/>
        </w:rPr>
        <w:t>he Course Director</w:t>
      </w:r>
    </w:p>
    <w:p w:rsidRPr="00F62778" w:rsidR="002777E6" w:rsidP="002777E6" w:rsidRDefault="002862B7" w14:paraId="3C2724E6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Katie Perkins</w:t>
      </w:r>
      <w:r w:rsidRPr="00F62778" w:rsidR="00451CDB">
        <w:rPr>
          <w:rFonts w:ascii="Calibri" w:hAnsi="Calibri" w:cs="Calibri"/>
          <w:sz w:val="22"/>
          <w:szCs w:val="22"/>
        </w:rPr>
        <w:t xml:space="preserve">, </w:t>
      </w:r>
      <w:r w:rsidRPr="00F62778" w:rsidR="002777E6">
        <w:rPr>
          <w:rFonts w:ascii="Calibri" w:hAnsi="Calibri" w:cs="Calibri"/>
          <w:sz w:val="22"/>
          <w:szCs w:val="22"/>
        </w:rPr>
        <w:t xml:space="preserve"> Head of Exams </w:t>
      </w:r>
    </w:p>
    <w:p w:rsidRPr="00F62778" w:rsidR="002777E6" w:rsidP="002777E6" w:rsidRDefault="002777E6" w14:paraId="44BF5249" w14:textId="77777777">
      <w:pPr>
        <w:ind w:left="720"/>
        <w:rPr>
          <w:rFonts w:ascii="Calibri" w:hAnsi="Calibri" w:cs="Calibri"/>
          <w:sz w:val="22"/>
          <w:szCs w:val="22"/>
        </w:rPr>
      </w:pPr>
    </w:p>
    <w:p w:rsidRPr="00F62778" w:rsidR="002777E6" w:rsidP="002777E6" w:rsidRDefault="00CA0EE3" w14:paraId="7AC4A657" w14:textId="77777777">
      <w:pPr>
        <w:numPr>
          <w:ilvl w:val="1"/>
          <w:numId w:val="5"/>
        </w:numPr>
        <w:rPr>
          <w:rFonts w:ascii="Calibri" w:hAnsi="Calibri" w:cs="Calibri"/>
          <w:sz w:val="22"/>
          <w:szCs w:val="22"/>
          <w:u w:val="single"/>
        </w:rPr>
      </w:pPr>
      <w:r w:rsidRPr="00F62778">
        <w:rPr>
          <w:rFonts w:ascii="Calibri" w:hAnsi="Calibri" w:cs="Calibri"/>
          <w:sz w:val="22"/>
          <w:szCs w:val="22"/>
          <w:u w:val="single"/>
        </w:rPr>
        <w:t>O</w:t>
      </w:r>
      <w:r w:rsidRPr="00F62778" w:rsidR="005E49A4">
        <w:rPr>
          <w:rFonts w:ascii="Calibri" w:hAnsi="Calibri" w:cs="Calibri"/>
          <w:sz w:val="22"/>
          <w:szCs w:val="22"/>
          <w:u w:val="single"/>
        </w:rPr>
        <w:t xml:space="preserve">ther </w:t>
      </w:r>
      <w:r w:rsidRPr="00F62778" w:rsidR="002777E6">
        <w:rPr>
          <w:rFonts w:ascii="Calibri" w:hAnsi="Calibri" w:cs="Calibri"/>
          <w:sz w:val="22"/>
          <w:szCs w:val="22"/>
          <w:u w:val="single"/>
        </w:rPr>
        <w:t xml:space="preserve">undergraduate </w:t>
      </w:r>
      <w:r w:rsidRPr="00F62778" w:rsidR="005E49A4">
        <w:rPr>
          <w:rFonts w:ascii="Calibri" w:hAnsi="Calibri" w:cs="Calibri"/>
          <w:sz w:val="22"/>
          <w:szCs w:val="22"/>
          <w:u w:val="single"/>
        </w:rPr>
        <w:t>courses</w:t>
      </w:r>
    </w:p>
    <w:p w:rsidRPr="00F62778" w:rsidR="002777E6" w:rsidP="002777E6" w:rsidRDefault="005E49A4" w14:paraId="652E400E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Course Director </w:t>
      </w:r>
    </w:p>
    <w:p w:rsidRPr="00F62778" w:rsidR="002777E6" w:rsidP="002777E6" w:rsidRDefault="005E49A4" w14:paraId="3A5C3B05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Chair of the Board of Examiners </w:t>
      </w:r>
    </w:p>
    <w:p w:rsidRPr="00F62778" w:rsidR="002777E6" w:rsidP="002777E6" w:rsidRDefault="002777E6" w14:paraId="7F50F1CC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Chief Examiner (where appointed)</w:t>
      </w:r>
    </w:p>
    <w:p w:rsidRPr="00F62778" w:rsidR="005E49A4" w:rsidRDefault="005E49A4" w14:paraId="5F592E25" w14:textId="77777777">
      <w:pPr>
        <w:rPr>
          <w:rFonts w:ascii="Calibri" w:hAnsi="Calibri" w:cs="Calibri"/>
          <w:sz w:val="22"/>
          <w:szCs w:val="22"/>
        </w:rPr>
      </w:pPr>
    </w:p>
    <w:p w:rsidRPr="00F62778" w:rsidR="002777E6" w:rsidP="002777E6" w:rsidRDefault="00CA0EE3" w14:paraId="7B4C3833" w14:textId="77777777">
      <w:pPr>
        <w:numPr>
          <w:ilvl w:val="1"/>
          <w:numId w:val="5"/>
        </w:numPr>
        <w:rPr>
          <w:rFonts w:ascii="Calibri" w:hAnsi="Calibri" w:cs="Calibri"/>
          <w:sz w:val="22"/>
          <w:szCs w:val="22"/>
          <w:u w:val="single"/>
        </w:rPr>
      </w:pPr>
      <w:r w:rsidRPr="00F62778">
        <w:rPr>
          <w:rFonts w:ascii="Calibri" w:hAnsi="Calibri" w:cs="Calibri"/>
          <w:sz w:val="22"/>
          <w:szCs w:val="22"/>
          <w:u w:val="single"/>
        </w:rPr>
        <w:t>P</w:t>
      </w:r>
      <w:r w:rsidRPr="00F62778" w:rsidR="002777E6">
        <w:rPr>
          <w:rFonts w:ascii="Calibri" w:hAnsi="Calibri" w:cs="Calibri"/>
          <w:sz w:val="22"/>
          <w:szCs w:val="22"/>
          <w:u w:val="single"/>
        </w:rPr>
        <w:t>ostgraduate courses</w:t>
      </w:r>
    </w:p>
    <w:p w:rsidRPr="00F62778" w:rsidR="00CA0EE3" w:rsidP="00CA0EE3" w:rsidRDefault="002777E6" w14:paraId="3614F8E9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Course Director</w:t>
      </w:r>
    </w:p>
    <w:p w:rsidRPr="00F62778" w:rsidR="00451CDB" w:rsidP="00CA0EE3" w:rsidRDefault="00451CDB" w14:paraId="5D9DCA33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Assessment Lead (where the role has been identified)</w:t>
      </w:r>
    </w:p>
    <w:p w:rsidRPr="00F62778" w:rsidR="00451CDB" w:rsidP="00CA0EE3" w:rsidRDefault="00451CDB" w14:paraId="0962F247" w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Chair of the Board of Examiners. </w:t>
      </w:r>
    </w:p>
    <w:p w:rsidRPr="00F62778" w:rsidR="002777E6" w:rsidP="002777E6" w:rsidRDefault="002777E6" w14:paraId="33F548EA" w14:textId="77777777">
      <w:pPr>
        <w:rPr>
          <w:rFonts w:ascii="Calibri" w:hAnsi="Calibri" w:cs="Calibri"/>
          <w:sz w:val="22"/>
          <w:szCs w:val="22"/>
        </w:rPr>
      </w:pPr>
    </w:p>
    <w:p w:rsidRPr="00F62778" w:rsidR="002777E6" w:rsidP="002777E6" w:rsidRDefault="00457372" w14:paraId="63FAF88C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R</w:t>
      </w:r>
      <w:r w:rsidRPr="00F62778" w:rsidR="002777E6">
        <w:rPr>
          <w:rFonts w:ascii="Calibri" w:hAnsi="Calibri" w:cs="Calibri"/>
          <w:sz w:val="22"/>
          <w:szCs w:val="22"/>
        </w:rPr>
        <w:t xml:space="preserve">eports will be circulated to reflect the severity of </w:t>
      </w:r>
      <w:r w:rsidRPr="00F62778">
        <w:rPr>
          <w:rFonts w:ascii="Calibri" w:hAnsi="Calibri" w:cs="Calibri"/>
          <w:sz w:val="22"/>
          <w:szCs w:val="22"/>
        </w:rPr>
        <w:t>the issues raised in the report with critical reports receiving a wider circulation.</w:t>
      </w:r>
      <w:r w:rsidRPr="00F62778" w:rsidR="002777E6">
        <w:rPr>
          <w:rFonts w:ascii="Calibri" w:hAnsi="Calibri" w:cs="Calibri"/>
          <w:sz w:val="22"/>
          <w:szCs w:val="22"/>
        </w:rPr>
        <w:t xml:space="preserve"> At the discretion of the </w:t>
      </w:r>
      <w:r w:rsidRPr="00F62778" w:rsidR="00492BB8">
        <w:rPr>
          <w:rFonts w:ascii="Calibri" w:hAnsi="Calibri" w:cs="Calibri"/>
          <w:sz w:val="22"/>
          <w:szCs w:val="22"/>
        </w:rPr>
        <w:t>Director of Quality and Partnerships</w:t>
      </w:r>
      <w:r w:rsidR="00304E52">
        <w:rPr>
          <w:rFonts w:ascii="Calibri" w:hAnsi="Calibri" w:cs="Calibri"/>
          <w:sz w:val="22"/>
          <w:szCs w:val="22"/>
        </w:rPr>
        <w:t>,</w:t>
      </w:r>
      <w:r w:rsidRPr="00F62778" w:rsidR="00492BB8">
        <w:rPr>
          <w:rFonts w:ascii="Calibri" w:hAnsi="Calibri" w:cs="Calibri"/>
          <w:sz w:val="22"/>
          <w:szCs w:val="22"/>
        </w:rPr>
        <w:t xml:space="preserve"> </w:t>
      </w:r>
      <w:r w:rsidRPr="00F62778" w:rsidR="002777E6">
        <w:rPr>
          <w:rFonts w:ascii="Calibri" w:hAnsi="Calibri"/>
          <w:sz w:val="22"/>
          <w:szCs w:val="22"/>
          <w:lang w:eastAsia="en-GB"/>
        </w:rPr>
        <w:t>reports may be circulated to</w:t>
      </w:r>
      <w:r w:rsidRPr="00F62778" w:rsidR="002777E6">
        <w:rPr>
          <w:rFonts w:ascii="Calibri" w:hAnsi="Calibri" w:cs="Calibri"/>
          <w:sz w:val="22"/>
          <w:szCs w:val="22"/>
        </w:rPr>
        <w:t xml:space="preserve"> </w:t>
      </w:r>
      <w:r w:rsidRPr="00F62778" w:rsidR="00451CDB">
        <w:rPr>
          <w:rFonts w:ascii="Calibri" w:hAnsi="Calibri" w:cs="Calibri"/>
          <w:sz w:val="22"/>
          <w:szCs w:val="22"/>
        </w:rPr>
        <w:t>one or more of the following:</w:t>
      </w:r>
      <w:r w:rsidRPr="00F62778" w:rsidR="002777E6">
        <w:rPr>
          <w:rFonts w:ascii="Calibri" w:hAnsi="Calibri" w:cs="Calibri"/>
          <w:sz w:val="22"/>
          <w:szCs w:val="22"/>
        </w:rPr>
        <w:t xml:space="preserve"> </w:t>
      </w:r>
    </w:p>
    <w:p w:rsidRPr="00F62778" w:rsidR="00F62778" w:rsidP="00F62778" w:rsidRDefault="00F62778" w14:paraId="2E1DEDE6" w14:textId="77777777">
      <w:pPr>
        <w:ind w:left="360"/>
        <w:rPr>
          <w:rFonts w:ascii="Calibri" w:hAnsi="Calibri" w:cs="Calibri"/>
          <w:sz w:val="22"/>
          <w:szCs w:val="22"/>
        </w:rPr>
      </w:pPr>
    </w:p>
    <w:p w:rsidRPr="00F62778" w:rsidR="002777E6" w:rsidP="00F62778" w:rsidRDefault="002777E6" w14:paraId="4D3C5EA1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The </w:t>
      </w:r>
      <w:r w:rsidRPr="00F62778" w:rsidR="00492BB8">
        <w:rPr>
          <w:rFonts w:ascii="Calibri" w:hAnsi="Calibri" w:cs="Calibri"/>
          <w:sz w:val="22"/>
          <w:szCs w:val="22"/>
        </w:rPr>
        <w:t xml:space="preserve">Deputy </w:t>
      </w:r>
      <w:r w:rsidRPr="0066563A" w:rsidR="0066563A">
        <w:rPr>
          <w:rFonts w:ascii="Calibri" w:hAnsi="Calibri" w:cs="Calibri"/>
          <w:sz w:val="22"/>
          <w:szCs w:val="22"/>
        </w:rPr>
        <w:t xml:space="preserve">Vice-Chancellor </w:t>
      </w:r>
      <w:r w:rsidRPr="00F62778" w:rsidR="00492BB8">
        <w:rPr>
          <w:rFonts w:ascii="Calibri" w:hAnsi="Calibri" w:cs="Calibri"/>
          <w:sz w:val="22"/>
          <w:szCs w:val="22"/>
        </w:rPr>
        <w:t>(Education)/ Director of the Institute of Medical and Biomedical Education</w:t>
      </w:r>
      <w:r w:rsidRPr="00F62778">
        <w:rPr>
          <w:rFonts w:ascii="Calibri" w:hAnsi="Calibri" w:cs="Calibri"/>
          <w:sz w:val="22"/>
          <w:szCs w:val="22"/>
        </w:rPr>
        <w:t xml:space="preserve"> </w:t>
      </w:r>
    </w:p>
    <w:p w:rsidRPr="00F62778" w:rsidR="002777E6" w:rsidP="00F62778" w:rsidRDefault="009E286F" w14:paraId="20072AAB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9E286F">
        <w:rPr>
          <w:rFonts w:ascii="Calibri" w:hAnsi="Calibri" w:cs="Calibri"/>
          <w:sz w:val="22"/>
          <w:szCs w:val="22"/>
        </w:rPr>
        <w:t>Academic Lead for Quality and Partnerships/</w:t>
      </w:r>
      <w:r w:rsidRPr="00F62778" w:rsidR="00492BB8">
        <w:rPr>
          <w:rFonts w:ascii="Calibri" w:hAnsi="Calibri" w:cs="Calibri"/>
          <w:sz w:val="22"/>
          <w:szCs w:val="22"/>
        </w:rPr>
        <w:t>c</w:t>
      </w:r>
      <w:r w:rsidRPr="00F62778" w:rsidR="002777E6">
        <w:rPr>
          <w:rFonts w:ascii="Calibri" w:hAnsi="Calibri" w:cs="Calibri"/>
          <w:sz w:val="22"/>
          <w:szCs w:val="22"/>
        </w:rPr>
        <w:t>hair of QAEC</w:t>
      </w:r>
    </w:p>
    <w:p w:rsidRPr="00F62778" w:rsidR="002777E6" w:rsidP="00F62778" w:rsidRDefault="002777E6" w14:paraId="4DFCB657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The Director of the Institute of Medical and Biomedical Education </w:t>
      </w:r>
    </w:p>
    <w:p w:rsidRPr="00F62778" w:rsidR="006063E4" w:rsidP="00F62778" w:rsidRDefault="006063E4" w14:paraId="72EC07BC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Chair of </w:t>
      </w:r>
      <w:r w:rsidR="008B24F2">
        <w:rPr>
          <w:rFonts w:ascii="Calibri" w:hAnsi="Calibri" w:cs="Calibri"/>
          <w:sz w:val="22"/>
          <w:szCs w:val="22"/>
        </w:rPr>
        <w:t>UPC</w:t>
      </w:r>
    </w:p>
    <w:p w:rsidRPr="00F62778" w:rsidR="002777E6" w:rsidP="00F62778" w:rsidRDefault="002777E6" w14:paraId="63F1B938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IMBE Heads of Centre</w:t>
      </w:r>
    </w:p>
    <w:p w:rsidRPr="00F62778" w:rsidR="002777E6" w:rsidP="00F62778" w:rsidRDefault="002777E6" w14:paraId="4B5B9859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The Dean of the Faculty of Health, Social Care and Education </w:t>
      </w:r>
    </w:p>
    <w:p w:rsidRPr="00F62778" w:rsidR="00795445" w:rsidP="00F62778" w:rsidRDefault="002777E6" w14:paraId="13F0639A" w14:textId="77777777">
      <w:pPr>
        <w:numPr>
          <w:ilvl w:val="1"/>
          <w:numId w:val="9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The Deputy Head of the Graduate School </w:t>
      </w:r>
      <w:r w:rsidRPr="00F62778" w:rsidR="006063E4">
        <w:rPr>
          <w:rFonts w:ascii="Calibri" w:hAnsi="Calibri" w:cs="Calibri"/>
          <w:sz w:val="22"/>
          <w:szCs w:val="22"/>
        </w:rPr>
        <w:t>(and Chair of TPCC)</w:t>
      </w:r>
    </w:p>
    <w:p w:rsidRPr="00F62778" w:rsidR="00F62778" w:rsidP="00F62778" w:rsidRDefault="00F62778" w14:paraId="0829D98C" w14:textId="77777777">
      <w:pPr>
        <w:ind w:left="792"/>
        <w:rPr>
          <w:rFonts w:ascii="Calibri" w:hAnsi="Calibri" w:cs="Calibri"/>
          <w:sz w:val="22"/>
          <w:szCs w:val="22"/>
        </w:rPr>
      </w:pPr>
    </w:p>
    <w:p w:rsidRPr="00F62778" w:rsidR="006063E4" w:rsidP="006063E4" w:rsidRDefault="00CA0EE3" w14:paraId="488B9817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An External Examiners</w:t>
      </w:r>
      <w:r w:rsidRPr="00F62778" w:rsidR="006063E4">
        <w:rPr>
          <w:rFonts w:ascii="Calibri" w:hAnsi="Calibri" w:cs="Calibri"/>
          <w:sz w:val="22"/>
          <w:szCs w:val="22"/>
        </w:rPr>
        <w:t xml:space="preserve"> </w:t>
      </w:r>
      <w:r w:rsidRPr="00F62778">
        <w:rPr>
          <w:rFonts w:ascii="Calibri" w:hAnsi="Calibri" w:cs="Calibri"/>
          <w:sz w:val="22"/>
          <w:szCs w:val="22"/>
        </w:rPr>
        <w:t>L</w:t>
      </w:r>
      <w:r w:rsidRPr="00F62778" w:rsidR="006063E4">
        <w:rPr>
          <w:rFonts w:ascii="Calibri" w:hAnsi="Calibri" w:cs="Calibri"/>
          <w:sz w:val="22"/>
          <w:szCs w:val="22"/>
        </w:rPr>
        <w:t xml:space="preserve">og will be </w:t>
      </w:r>
      <w:r w:rsidRPr="00F62778" w:rsidR="00D36ABD">
        <w:rPr>
          <w:rFonts w:ascii="Calibri" w:hAnsi="Calibri" w:cs="Calibri"/>
          <w:sz w:val="22"/>
          <w:szCs w:val="22"/>
        </w:rPr>
        <w:t>maintained as</w:t>
      </w:r>
      <w:r w:rsidRPr="00F62778">
        <w:rPr>
          <w:rFonts w:ascii="Calibri" w:hAnsi="Calibri" w:cs="Calibri"/>
          <w:sz w:val="22"/>
          <w:szCs w:val="22"/>
        </w:rPr>
        <w:t xml:space="preserve"> </w:t>
      </w:r>
      <w:r w:rsidRPr="00F62778" w:rsidR="00D36ABD">
        <w:rPr>
          <w:rFonts w:ascii="Calibri" w:hAnsi="Calibri" w:cs="Calibri"/>
          <w:sz w:val="22"/>
          <w:szCs w:val="22"/>
        </w:rPr>
        <w:t xml:space="preserve">a </w:t>
      </w:r>
      <w:r w:rsidRPr="00F62778">
        <w:rPr>
          <w:rFonts w:ascii="Calibri" w:hAnsi="Calibri" w:cs="Calibri"/>
          <w:sz w:val="22"/>
          <w:szCs w:val="22"/>
        </w:rPr>
        <w:t>record of the circulation of reports.</w:t>
      </w:r>
      <w:r w:rsidRPr="00F62778" w:rsidR="006063E4">
        <w:rPr>
          <w:rFonts w:ascii="Calibri" w:hAnsi="Calibri" w:cs="Calibri"/>
          <w:sz w:val="22"/>
          <w:szCs w:val="22"/>
        </w:rPr>
        <w:t xml:space="preserve"> </w:t>
      </w:r>
    </w:p>
    <w:p w:rsidRPr="00F62778" w:rsidR="004832FF" w:rsidP="004832FF" w:rsidRDefault="004832FF" w14:paraId="2E568818" w14:textId="77777777">
      <w:pPr>
        <w:rPr>
          <w:rFonts w:ascii="Calibri" w:hAnsi="Calibri" w:cs="Calibri"/>
          <w:sz w:val="22"/>
          <w:szCs w:val="22"/>
        </w:rPr>
      </w:pPr>
    </w:p>
    <w:p w:rsidRPr="00F62778" w:rsidR="006063E4" w:rsidP="006063E4" w:rsidRDefault="006064D6" w14:paraId="48AFBD1C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 xml:space="preserve">Chasing non submitted reports </w:t>
      </w:r>
    </w:p>
    <w:p w:rsidRPr="00F62778" w:rsidR="006063E4" w:rsidP="002777E6" w:rsidRDefault="006063E4" w14:paraId="18F6C473" w14:textId="77777777">
      <w:pPr>
        <w:rPr>
          <w:rFonts w:ascii="Calibri" w:hAnsi="Calibri" w:cs="Calibri"/>
          <w:sz w:val="22"/>
          <w:szCs w:val="22"/>
        </w:rPr>
      </w:pPr>
    </w:p>
    <w:p w:rsidRPr="00F62778" w:rsidR="006063E4" w:rsidP="006063E4" w:rsidRDefault="006064D6" w14:paraId="4DDB2B1F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Reports should be submitted with</w:t>
      </w:r>
      <w:r w:rsidRPr="00F62778" w:rsidR="0079289F">
        <w:rPr>
          <w:rFonts w:ascii="Calibri" w:hAnsi="Calibri" w:cs="Calibri"/>
          <w:sz w:val="22"/>
          <w:szCs w:val="22"/>
        </w:rPr>
        <w:t>in</w:t>
      </w:r>
      <w:r w:rsidRPr="00F62778">
        <w:rPr>
          <w:rFonts w:ascii="Calibri" w:hAnsi="Calibri" w:cs="Calibri"/>
          <w:sz w:val="22"/>
          <w:szCs w:val="22"/>
        </w:rPr>
        <w:t xml:space="preserve"> four weeks of the main Board of Examiners</w:t>
      </w:r>
      <w:r w:rsidRPr="00F62778" w:rsidR="0079289F">
        <w:rPr>
          <w:rFonts w:ascii="Calibri" w:hAnsi="Calibri" w:cs="Calibri"/>
          <w:sz w:val="22"/>
          <w:szCs w:val="22"/>
        </w:rPr>
        <w:t>’</w:t>
      </w:r>
      <w:r w:rsidRPr="00F62778">
        <w:rPr>
          <w:rFonts w:ascii="Calibri" w:hAnsi="Calibri" w:cs="Calibri"/>
          <w:sz w:val="22"/>
          <w:szCs w:val="22"/>
        </w:rPr>
        <w:t xml:space="preserve"> meeting. Reports will be chased on two occasions by </w:t>
      </w:r>
      <w:r w:rsidR="002862B7">
        <w:rPr>
          <w:rFonts w:ascii="Calibri" w:hAnsi="Calibri" w:cs="Calibri"/>
          <w:sz w:val="22"/>
          <w:szCs w:val="22"/>
        </w:rPr>
        <w:t>Examinations Officer (for undergraduate programmes) and the Head of Postgraduate Administration</w:t>
      </w:r>
      <w:r w:rsidRPr="00F62778">
        <w:rPr>
          <w:rFonts w:ascii="Calibri" w:hAnsi="Calibri" w:cs="Calibri"/>
          <w:sz w:val="22"/>
          <w:szCs w:val="22"/>
        </w:rPr>
        <w:t>.  If a report is not received:</w:t>
      </w:r>
    </w:p>
    <w:p w:rsidRPr="00F62778" w:rsidR="00F62778" w:rsidP="00F62778" w:rsidRDefault="00F62778" w14:paraId="6C1218B4" w14:textId="77777777">
      <w:pPr>
        <w:ind w:left="360"/>
        <w:rPr>
          <w:rFonts w:ascii="Calibri" w:hAnsi="Calibri" w:cs="Calibri"/>
          <w:sz w:val="22"/>
          <w:szCs w:val="22"/>
        </w:rPr>
      </w:pPr>
    </w:p>
    <w:p w:rsidRPr="00F62778" w:rsidR="006064D6" w:rsidP="00F62778" w:rsidRDefault="006064D6" w14:paraId="0D4AA66F" w14:textId="77777777">
      <w:pPr>
        <w:numPr>
          <w:ilvl w:val="1"/>
          <w:numId w:val="10"/>
        </w:numPr>
        <w:ind w:left="993" w:hanging="284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The Course Director/Chief or Responsible examiner will be invited to contact the external examiner. </w:t>
      </w:r>
    </w:p>
    <w:p w:rsidRPr="00F62778" w:rsidR="00DF01D0" w:rsidP="00F62778" w:rsidRDefault="006064D6" w14:paraId="03DF9950" w14:textId="77777777">
      <w:pPr>
        <w:numPr>
          <w:ilvl w:val="1"/>
          <w:numId w:val="10"/>
        </w:numPr>
        <w:ind w:left="993" w:hanging="284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If the </w:t>
      </w:r>
      <w:r w:rsidR="00DC498F">
        <w:rPr>
          <w:rFonts w:ascii="Calibri" w:hAnsi="Calibri" w:cs="Calibri"/>
          <w:sz w:val="22"/>
          <w:szCs w:val="22"/>
        </w:rPr>
        <w:t>contact</w:t>
      </w:r>
      <w:r w:rsidRPr="00F62778">
        <w:rPr>
          <w:rFonts w:ascii="Calibri" w:hAnsi="Calibri" w:cs="Calibri"/>
          <w:sz w:val="22"/>
          <w:szCs w:val="22"/>
        </w:rPr>
        <w:t xml:space="preserve"> is not successful (or if the Course Director/Chief or Responsible examiner does not wish to intervene) the matter will be escalated to the </w:t>
      </w:r>
      <w:r w:rsidRPr="00F62778" w:rsidR="00492BB8">
        <w:rPr>
          <w:rFonts w:ascii="Calibri" w:hAnsi="Calibri" w:cs="Calibri"/>
          <w:sz w:val="22"/>
          <w:szCs w:val="22"/>
        </w:rPr>
        <w:t>Director of Quality and Partnerships</w:t>
      </w:r>
      <w:r w:rsidRPr="00F62778">
        <w:rPr>
          <w:rFonts w:ascii="Calibri" w:hAnsi="Calibri" w:cs="Calibri"/>
          <w:sz w:val="22"/>
          <w:szCs w:val="22"/>
        </w:rPr>
        <w:t xml:space="preserve"> to </w:t>
      </w:r>
      <w:r w:rsidRPr="00F62778" w:rsidR="00DF01D0">
        <w:rPr>
          <w:rFonts w:ascii="Calibri" w:hAnsi="Calibri" w:cs="Calibri"/>
          <w:sz w:val="22"/>
          <w:szCs w:val="22"/>
        </w:rPr>
        <w:t xml:space="preserve">chase on behalf of Senate.  </w:t>
      </w:r>
    </w:p>
    <w:p w:rsidRPr="00F62778" w:rsidR="006064D6" w:rsidP="00F62778" w:rsidRDefault="00DF01D0" w14:paraId="34095340" w14:textId="77777777">
      <w:pPr>
        <w:numPr>
          <w:ilvl w:val="1"/>
          <w:numId w:val="10"/>
        </w:numPr>
        <w:ind w:left="993" w:hanging="284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If reports are not submitted, the Quality Manual process for terminating an appointment will be </w:t>
      </w:r>
      <w:r w:rsidRPr="00F62778" w:rsidR="006064D6">
        <w:rPr>
          <w:rFonts w:ascii="Calibri" w:hAnsi="Calibri" w:cs="Calibri"/>
          <w:sz w:val="22"/>
          <w:szCs w:val="22"/>
        </w:rPr>
        <w:t>invoke</w:t>
      </w:r>
      <w:r w:rsidRPr="00F62778">
        <w:rPr>
          <w:rFonts w:ascii="Calibri" w:hAnsi="Calibri" w:cs="Calibri"/>
          <w:sz w:val="22"/>
          <w:szCs w:val="22"/>
        </w:rPr>
        <w:t>d</w:t>
      </w:r>
      <w:r w:rsidRPr="00F62778" w:rsidR="006064D6">
        <w:rPr>
          <w:rFonts w:ascii="Calibri" w:hAnsi="Calibri" w:cs="Calibri"/>
          <w:sz w:val="22"/>
          <w:szCs w:val="22"/>
        </w:rPr>
        <w:t xml:space="preserve">. </w:t>
      </w:r>
    </w:p>
    <w:p w:rsidRPr="00F62778" w:rsidR="00DF01D0" w:rsidP="00DF01D0" w:rsidRDefault="00DF01D0" w14:paraId="64CB9923" w14:textId="77777777">
      <w:pPr>
        <w:rPr>
          <w:rFonts w:ascii="Calibri" w:hAnsi="Calibri" w:cs="Calibri"/>
          <w:sz w:val="22"/>
          <w:szCs w:val="22"/>
        </w:rPr>
      </w:pPr>
    </w:p>
    <w:p w:rsidRPr="00F62778" w:rsidR="00DF01D0" w:rsidP="00DF01D0" w:rsidRDefault="00DF01D0" w14:paraId="71BEBA37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>Indicative timelines</w:t>
      </w:r>
    </w:p>
    <w:p w:rsidRPr="00F62778" w:rsidR="00DF01D0" w:rsidP="00DF01D0" w:rsidRDefault="00DF01D0" w14:paraId="3CFABC67" w14:textId="77777777">
      <w:pPr>
        <w:rPr>
          <w:rFonts w:ascii="Calibri" w:hAnsi="Calibri" w:cs="Calibri"/>
          <w:sz w:val="22"/>
          <w:szCs w:val="22"/>
        </w:rPr>
      </w:pPr>
    </w:p>
    <w:p w:rsidRPr="00F62778" w:rsidR="00DF01D0" w:rsidP="00DF01D0" w:rsidRDefault="00DF01D0" w14:paraId="7A1A8EF6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For a Board of Examiners meeting, </w:t>
      </w:r>
      <w:r w:rsidRPr="00F62778">
        <w:rPr>
          <w:rFonts w:ascii="Calibri" w:hAnsi="Calibri" w:cs="Calibri"/>
          <w:sz w:val="22"/>
          <w:szCs w:val="22"/>
          <w:u w:val="single"/>
        </w:rPr>
        <w:t>indicative timelines</w:t>
      </w:r>
      <w:r w:rsidRPr="00F62778">
        <w:rPr>
          <w:rFonts w:ascii="Calibri" w:hAnsi="Calibri" w:cs="Calibri"/>
          <w:sz w:val="22"/>
          <w:szCs w:val="22"/>
        </w:rPr>
        <w:t xml:space="preserve"> for tracking reports are as follows:</w:t>
      </w:r>
    </w:p>
    <w:p w:rsidRPr="00F62778" w:rsidR="00451CDB" w:rsidP="00451CDB" w:rsidRDefault="00451CDB" w14:paraId="67EB6182" w14:textId="77777777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single" w:color="8064A2" w:sz="8" w:space="0"/>
          <w:insideV w:val="single" w:color="8064A2" w:sz="8" w:space="0"/>
        </w:tblBorders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Pr="00F62778" w:rsidR="00D36ABD" w:rsidTr="005D51E9" w14:paraId="677B475E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18" w:space="0"/>
              <w:right w:val="single" w:color="8064A2" w:sz="8" w:space="0"/>
            </w:tcBorders>
            <w:shd w:val="clear" w:color="auto" w:fill="auto"/>
          </w:tcPr>
          <w:p w:rsidRPr="00F62778" w:rsidR="00D36ABD" w:rsidP="00EC730C" w:rsidRDefault="00EC730C" w14:paraId="4C08B907" w14:textId="77777777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F62778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Working weeks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18" w:space="0"/>
              <w:right w:val="single" w:color="8064A2" w:sz="8" w:space="0"/>
            </w:tcBorders>
            <w:shd w:val="clear" w:color="auto" w:fill="auto"/>
          </w:tcPr>
          <w:p w:rsidRPr="00F62778" w:rsidR="00D36ABD" w:rsidRDefault="00EC730C" w14:paraId="05AF249A" w14:textId="77777777">
            <w:pPr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F62778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Activity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18" w:space="0"/>
              <w:right w:val="single" w:color="8064A2" w:sz="8" w:space="0"/>
            </w:tcBorders>
            <w:shd w:val="clear" w:color="auto" w:fill="auto"/>
          </w:tcPr>
          <w:p w:rsidRPr="00F62778" w:rsidR="00D36ABD" w:rsidRDefault="00506720" w14:paraId="2B1BE05E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Lead</w:t>
            </w:r>
          </w:p>
        </w:tc>
      </w:tr>
      <w:tr w:rsidRPr="00F62778" w:rsidR="00D36ABD" w:rsidTr="005D51E9" w14:paraId="7514678D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D36ABD" w:rsidRDefault="00506720" w14:paraId="7F6DDD73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-4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D36ABD" w:rsidRDefault="00506720" w14:paraId="34D5921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>Blank reports sent out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D36ABD" w:rsidP="002862B7" w:rsidRDefault="002862B7" w14:paraId="00526C61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Examinations Officer (for undergraduate programmes) or the Head of Postgraduate Administration</w:t>
            </w:r>
          </w:p>
        </w:tc>
      </w:tr>
      <w:tr w:rsidRPr="00F62778" w:rsidR="00D36ABD" w:rsidTr="005D51E9" w14:paraId="4231AA80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D36ABD" w:rsidRDefault="00506720" w14:paraId="2AD593C5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D36ABD" w:rsidRDefault="00506720" w14:paraId="5E92C50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>Board Meeting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D36ABD" w:rsidRDefault="00D36ABD" w14:paraId="3F9E97C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62778" w:rsidR="00506720" w:rsidTr="005D51E9" w14:paraId="75EF659E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506720" w:rsidRDefault="00506720" w14:paraId="0666B7F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+4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506720" w:rsidRDefault="00506720" w14:paraId="2DACFCF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>Report</w:t>
            </w:r>
            <w:r w:rsidRPr="00F62778" w:rsidR="0079289F">
              <w:rPr>
                <w:rFonts w:ascii="Calibri" w:hAnsi="Calibri" w:cs="Calibri"/>
                <w:sz w:val="22"/>
                <w:szCs w:val="22"/>
              </w:rPr>
              <w:t>s not</w:t>
            </w:r>
            <w:r w:rsidRPr="00F62778" w:rsidR="00A35153">
              <w:rPr>
                <w:rFonts w:ascii="Calibri" w:hAnsi="Calibri" w:cs="Calibri"/>
                <w:sz w:val="22"/>
                <w:szCs w:val="22"/>
              </w:rPr>
              <w:t xml:space="preserve"> received are</w:t>
            </w:r>
            <w:r w:rsidRPr="00F62778">
              <w:rPr>
                <w:rFonts w:ascii="Calibri" w:hAnsi="Calibri" w:cs="Calibri"/>
                <w:sz w:val="22"/>
                <w:szCs w:val="22"/>
              </w:rPr>
              <w:t xml:space="preserve"> chased 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506720" w:rsidP="005D51E9" w:rsidRDefault="002862B7" w14:paraId="60714EF8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EO (for undergraduate programmes) or the Head of Postgraduate Administration</w:t>
            </w:r>
          </w:p>
        </w:tc>
      </w:tr>
      <w:tr w:rsidRPr="00F62778" w:rsidR="002862B7" w:rsidTr="005D51E9" w14:paraId="39DED509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2862B7" w:rsidP="002862B7" w:rsidRDefault="002862B7" w14:paraId="7C1A6351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+5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2862B7" w:rsidP="002862B7" w:rsidRDefault="002862B7" w14:paraId="1B61239F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 xml:space="preserve">Reports not received are chased 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2862B7" w:rsidP="002862B7" w:rsidRDefault="002862B7" w14:paraId="78A054B6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EO (for undergraduate programmes) or the Head of Postgraduate Administration</w:t>
            </w:r>
          </w:p>
        </w:tc>
      </w:tr>
      <w:tr w:rsidRPr="00F62778" w:rsidR="002862B7" w:rsidTr="005D51E9" w14:paraId="604F67D0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2862B7" w:rsidP="002862B7" w:rsidRDefault="002862B7" w14:paraId="349F8B1E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+6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2862B7" w:rsidP="002862B7" w:rsidRDefault="002862B7" w14:paraId="67A8D75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 xml:space="preserve">Non-submissions referred to CD/CE/RE for chasing 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2862B7" w:rsidP="002862B7" w:rsidRDefault="002862B7" w14:paraId="535ADFF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>CD/CE/RE</w:t>
            </w:r>
          </w:p>
        </w:tc>
      </w:tr>
      <w:tr w:rsidRPr="00F62778" w:rsidR="002862B7" w:rsidTr="005D51E9" w14:paraId="4462E8EE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2862B7" w:rsidP="002862B7" w:rsidRDefault="002862B7" w14:paraId="614E8947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+8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2862B7" w:rsidP="002862B7" w:rsidRDefault="002862B7" w14:paraId="1CF54628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 xml:space="preserve">Non-submissions referred to QPD for chasing 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auto"/>
          </w:tcPr>
          <w:p w:rsidRPr="00F62778" w:rsidR="002862B7" w:rsidP="002862B7" w:rsidRDefault="002862B7" w14:paraId="08912C73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QPD</w:t>
            </w:r>
          </w:p>
        </w:tc>
      </w:tr>
      <w:tr w:rsidRPr="00F62778" w:rsidR="002862B7" w:rsidTr="005D51E9" w14:paraId="14E37167" w14:textId="77777777"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2862B7" w:rsidP="002862B7" w:rsidRDefault="002862B7" w14:paraId="218ED24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+10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2862B7" w:rsidP="002862B7" w:rsidRDefault="002862B7" w14:paraId="7F266D4B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>If reports are still not received, termination procedure to be invoked</w:t>
            </w:r>
          </w:p>
        </w:tc>
        <w:tc>
          <w:tcPr>
            <w:tcW w:w="307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FD8E8"/>
          </w:tcPr>
          <w:p w:rsidRPr="00F62778" w:rsidR="002862B7" w:rsidP="002862B7" w:rsidRDefault="002862B7" w14:paraId="003BE597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QPD</w:t>
            </w:r>
          </w:p>
        </w:tc>
      </w:tr>
    </w:tbl>
    <w:p w:rsidRPr="00F62778" w:rsidR="00A35153" w:rsidRDefault="00A35153" w14:paraId="748241F3" w14:textId="77777777">
      <w:pPr>
        <w:rPr>
          <w:rFonts w:ascii="Calibri" w:hAnsi="Calibri" w:cs="Calibri"/>
          <w:sz w:val="22"/>
          <w:szCs w:val="22"/>
        </w:rPr>
      </w:pPr>
    </w:p>
    <w:p w:rsidRPr="00F62778" w:rsidR="006C4E51" w:rsidP="006C4E51" w:rsidRDefault="006C4E51" w14:paraId="44290510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>Responding to reports</w:t>
      </w:r>
    </w:p>
    <w:p w:rsidRPr="00F62778" w:rsidR="006C4E51" w:rsidP="006C4E51" w:rsidRDefault="006C4E51" w14:paraId="74B4178B" w14:textId="77777777">
      <w:pPr>
        <w:rPr>
          <w:rFonts w:ascii="Calibri" w:hAnsi="Calibri" w:cs="Calibri"/>
          <w:b/>
          <w:sz w:val="22"/>
          <w:szCs w:val="22"/>
        </w:rPr>
      </w:pPr>
    </w:p>
    <w:p w:rsidRPr="00F62778" w:rsidR="006C4E51" w:rsidP="006C4E51" w:rsidRDefault="006C4E51" w14:paraId="3BF81C71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All external examiners will receive a response to their reports.  Responsibility for responding to reports rests with the Course Director or the Chief and Responsible Examiners (where such roles exist). Responses must be copied to the </w:t>
      </w:r>
      <w:r w:rsidRPr="00F62778" w:rsidR="00492BB8">
        <w:rPr>
          <w:rFonts w:ascii="Calibri" w:hAnsi="Calibri" w:cs="Calibri"/>
          <w:sz w:val="22"/>
          <w:szCs w:val="22"/>
        </w:rPr>
        <w:t xml:space="preserve">Examinations Officer and </w:t>
      </w:r>
      <w:r w:rsidR="00D21B3F">
        <w:rPr>
          <w:rFonts w:ascii="Calibri" w:hAnsi="Calibri" w:cs="Calibri"/>
          <w:sz w:val="22"/>
          <w:szCs w:val="22"/>
        </w:rPr>
        <w:t xml:space="preserve">Head of Postgraduate Administration </w:t>
      </w:r>
      <w:r w:rsidRPr="00F62778">
        <w:rPr>
          <w:rFonts w:ascii="Calibri" w:hAnsi="Calibri"/>
          <w:sz w:val="22"/>
          <w:szCs w:val="22"/>
          <w:lang w:eastAsia="en-GB"/>
        </w:rPr>
        <w:t>who will confirm that a response has been sent on the External Examiners Log.</w:t>
      </w:r>
    </w:p>
    <w:p w:rsidRPr="00F62778" w:rsidR="006C4E51" w:rsidP="006C4E51" w:rsidRDefault="006C4E51" w14:paraId="3867F916" w14:textId="77777777">
      <w:pPr>
        <w:ind w:left="360"/>
        <w:rPr>
          <w:rFonts w:ascii="Calibri" w:hAnsi="Calibri" w:cs="Calibri"/>
          <w:sz w:val="22"/>
          <w:szCs w:val="22"/>
        </w:rPr>
      </w:pPr>
    </w:p>
    <w:p w:rsidRPr="00F62778" w:rsidR="006C4E51" w:rsidP="006C4E51" w:rsidRDefault="006C4E51" w14:paraId="07CB9943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/>
          <w:sz w:val="22"/>
          <w:szCs w:val="22"/>
          <w:lang w:eastAsia="en-GB"/>
        </w:rPr>
        <w:t xml:space="preserve">For critical reports with a wide circulation, the response </w:t>
      </w:r>
      <w:r w:rsidRPr="00F62778" w:rsidR="00451CDB">
        <w:rPr>
          <w:rFonts w:ascii="Calibri" w:hAnsi="Calibri"/>
          <w:sz w:val="22"/>
          <w:szCs w:val="22"/>
          <w:lang w:eastAsia="en-GB"/>
        </w:rPr>
        <w:t>will</w:t>
      </w:r>
      <w:r w:rsidRPr="00F62778">
        <w:rPr>
          <w:rFonts w:ascii="Calibri" w:hAnsi="Calibri"/>
          <w:sz w:val="22"/>
          <w:szCs w:val="22"/>
          <w:lang w:eastAsia="en-GB"/>
        </w:rPr>
        <w:t xml:space="preserve"> be agreed with </w:t>
      </w:r>
      <w:r w:rsidRPr="00F62778" w:rsidR="00451CDB">
        <w:rPr>
          <w:rFonts w:ascii="Calibri" w:hAnsi="Calibri"/>
          <w:sz w:val="22"/>
          <w:szCs w:val="22"/>
          <w:lang w:eastAsia="en-GB"/>
        </w:rPr>
        <w:t xml:space="preserve">the </w:t>
      </w:r>
      <w:r w:rsidRPr="009E286F" w:rsidR="009E286F">
        <w:rPr>
          <w:rFonts w:ascii="Calibri" w:hAnsi="Calibri"/>
          <w:sz w:val="22"/>
          <w:szCs w:val="22"/>
          <w:lang w:eastAsia="en-GB"/>
        </w:rPr>
        <w:t>Academic Lead for Quality and Partnerships</w:t>
      </w:r>
      <w:r w:rsidRPr="00F62778" w:rsidR="00492BB8">
        <w:rPr>
          <w:rFonts w:ascii="Calibri" w:hAnsi="Calibri"/>
          <w:sz w:val="22"/>
          <w:szCs w:val="22"/>
          <w:lang w:eastAsia="en-GB"/>
        </w:rPr>
        <w:t xml:space="preserve"> </w:t>
      </w:r>
      <w:r w:rsidRPr="00F62778">
        <w:rPr>
          <w:rFonts w:ascii="Calibri" w:hAnsi="Calibri"/>
          <w:sz w:val="22"/>
          <w:szCs w:val="22"/>
          <w:lang w:eastAsia="en-GB"/>
        </w:rPr>
        <w:t xml:space="preserve">(see paragraph 4) prior to despatch. </w:t>
      </w:r>
    </w:p>
    <w:p w:rsidRPr="00F62778" w:rsidR="006C4E51" w:rsidP="006C4E51" w:rsidRDefault="006C4E51" w14:paraId="28C351C5" w14:textId="77777777">
      <w:pPr>
        <w:pStyle w:val="ListParagraph"/>
        <w:rPr>
          <w:rFonts w:ascii="Calibri" w:hAnsi="Calibri" w:cs="Calibri"/>
          <w:sz w:val="22"/>
          <w:szCs w:val="22"/>
          <w:u w:val="single"/>
        </w:rPr>
      </w:pPr>
    </w:p>
    <w:p w:rsidRPr="00F62778" w:rsidR="006C4E51" w:rsidP="006C4E51" w:rsidRDefault="006C4E51" w14:paraId="6824AF68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  <w:u w:val="single"/>
        </w:rPr>
        <w:t>For undergraduate reports</w:t>
      </w:r>
      <w:r w:rsidRPr="00F62778">
        <w:rPr>
          <w:rFonts w:ascii="Calibri" w:hAnsi="Calibri" w:cs="Calibri"/>
          <w:sz w:val="22"/>
          <w:szCs w:val="22"/>
        </w:rPr>
        <w:t>, responses to reports will usually be sent by 30</w:t>
      </w:r>
      <w:r w:rsidRPr="00F62778">
        <w:rPr>
          <w:rFonts w:ascii="Calibri" w:hAnsi="Calibri" w:cs="Calibri"/>
          <w:sz w:val="22"/>
          <w:szCs w:val="22"/>
          <w:vertAlign w:val="superscript"/>
        </w:rPr>
        <w:t>th</w:t>
      </w:r>
      <w:r w:rsidRPr="00F62778">
        <w:rPr>
          <w:rFonts w:ascii="Calibri" w:hAnsi="Calibri" w:cs="Calibri"/>
          <w:sz w:val="22"/>
          <w:szCs w:val="22"/>
        </w:rPr>
        <w:t xml:space="preserve"> September. An equivalent date will be published for PGT reports. Responses may be delayed if the report is not received within the four week timeframe within which reports should be submitted. Responses </w:t>
      </w:r>
      <w:r w:rsidRPr="00F62778">
        <w:rPr>
          <w:rFonts w:ascii="Calibri" w:hAnsi="Calibri" w:cs="Calibri"/>
          <w:sz w:val="22"/>
          <w:szCs w:val="22"/>
        </w:rPr>
        <w:lastRenderedPageBreak/>
        <w:t xml:space="preserve">may also be delayed if </w:t>
      </w:r>
      <w:r w:rsidRPr="00F62778" w:rsidR="00BE2368">
        <w:rPr>
          <w:rFonts w:ascii="Calibri" w:hAnsi="Calibri" w:cs="Calibri"/>
          <w:sz w:val="22"/>
          <w:szCs w:val="22"/>
        </w:rPr>
        <w:t xml:space="preserve">more time is needed to agree a response with senior staff (see paragraph </w:t>
      </w:r>
      <w:r w:rsidRPr="00F62778" w:rsidR="002E2DDA">
        <w:rPr>
          <w:rFonts w:ascii="Calibri" w:hAnsi="Calibri" w:cs="Calibri"/>
          <w:sz w:val="22"/>
          <w:szCs w:val="22"/>
        </w:rPr>
        <w:t>4</w:t>
      </w:r>
      <w:r w:rsidRPr="00F62778" w:rsidR="00BE2368">
        <w:rPr>
          <w:rFonts w:ascii="Calibri" w:hAnsi="Calibri" w:cs="Calibri"/>
          <w:sz w:val="22"/>
          <w:szCs w:val="22"/>
        </w:rPr>
        <w:t>).</w:t>
      </w:r>
    </w:p>
    <w:p w:rsidRPr="00F62778" w:rsidR="006C4E51" w:rsidP="006C4E51" w:rsidRDefault="006C4E51" w14:paraId="626A1580" w14:textId="77777777">
      <w:pPr>
        <w:pStyle w:val="ListParagraph"/>
        <w:rPr>
          <w:rFonts w:ascii="Calibri" w:hAnsi="Calibri" w:cs="Calibri"/>
          <w:sz w:val="22"/>
          <w:szCs w:val="22"/>
        </w:rPr>
      </w:pPr>
    </w:p>
    <w:p w:rsidRPr="00F62778" w:rsidR="006C4E51" w:rsidP="006C4E51" w:rsidRDefault="006C4E51" w14:paraId="1AC7BED9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If a response is not sent, the </w:t>
      </w:r>
      <w:r w:rsidRPr="00F62778" w:rsidR="00492BB8">
        <w:rPr>
          <w:rFonts w:ascii="Calibri" w:hAnsi="Calibri" w:cs="Calibri"/>
          <w:sz w:val="22"/>
          <w:szCs w:val="22"/>
        </w:rPr>
        <w:t xml:space="preserve">Examinations Officer and </w:t>
      </w:r>
      <w:r w:rsidR="00DC498F">
        <w:rPr>
          <w:rFonts w:ascii="Calibri" w:hAnsi="Calibri" w:cs="Calibri"/>
          <w:sz w:val="22"/>
          <w:szCs w:val="22"/>
        </w:rPr>
        <w:t>Head of Postgraduate Administration</w:t>
      </w:r>
      <w:r w:rsidRPr="00F62778">
        <w:rPr>
          <w:rFonts w:ascii="Calibri" w:hAnsi="Calibri"/>
          <w:sz w:val="22"/>
          <w:szCs w:val="22"/>
          <w:lang w:eastAsia="en-GB"/>
        </w:rPr>
        <w:t xml:space="preserve"> will chase on one occasion. No-replies will be referred to QAEC. </w:t>
      </w:r>
    </w:p>
    <w:p w:rsidRPr="00F62778" w:rsidR="006C4E51" w:rsidRDefault="006C4E51" w14:paraId="7BF13B28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P="00DF01D0" w:rsidRDefault="005B1B27" w14:paraId="707773CD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 xml:space="preserve">Student access to </w:t>
      </w:r>
      <w:r w:rsidRPr="00F62778" w:rsidR="00E72D65">
        <w:rPr>
          <w:rFonts w:ascii="Calibri" w:hAnsi="Calibri" w:cs="Calibri"/>
          <w:b/>
          <w:sz w:val="22"/>
          <w:szCs w:val="22"/>
        </w:rPr>
        <w:t>external</w:t>
      </w:r>
      <w:r w:rsidRPr="00F62778">
        <w:rPr>
          <w:rFonts w:ascii="Calibri" w:hAnsi="Calibri" w:cs="Calibri"/>
          <w:b/>
          <w:sz w:val="22"/>
          <w:szCs w:val="22"/>
        </w:rPr>
        <w:t xml:space="preserve"> examiner reports </w:t>
      </w:r>
      <w:r w:rsidRPr="00F62778" w:rsidR="005E49A4">
        <w:rPr>
          <w:rFonts w:ascii="Calibri" w:hAnsi="Calibri" w:cs="Calibri"/>
          <w:b/>
          <w:sz w:val="22"/>
          <w:szCs w:val="22"/>
        </w:rPr>
        <w:t xml:space="preserve"> </w:t>
      </w:r>
    </w:p>
    <w:p w:rsidRPr="00F62778" w:rsidR="005E49A4" w:rsidRDefault="005E49A4" w14:paraId="31A26C7F" w14:textId="77777777">
      <w:pPr>
        <w:rPr>
          <w:rFonts w:ascii="Calibri" w:hAnsi="Calibri" w:cs="Calibri"/>
          <w:sz w:val="22"/>
          <w:szCs w:val="22"/>
        </w:rPr>
      </w:pPr>
    </w:p>
    <w:p w:rsidRPr="00F62778" w:rsidR="00DF01D0" w:rsidP="00DF01D0" w:rsidRDefault="005B1B27" w14:paraId="3F2902B4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It</w:t>
      </w:r>
      <w:r w:rsidRPr="00F62778" w:rsidR="005E49A4">
        <w:rPr>
          <w:rFonts w:ascii="Calibri" w:hAnsi="Calibri" w:cs="Calibri"/>
          <w:sz w:val="22"/>
          <w:szCs w:val="22"/>
        </w:rPr>
        <w:t xml:space="preserve"> is the policy </w:t>
      </w:r>
      <w:r w:rsidRPr="00F62778">
        <w:rPr>
          <w:rFonts w:ascii="Calibri" w:hAnsi="Calibri" w:cs="Calibri"/>
          <w:sz w:val="22"/>
          <w:szCs w:val="22"/>
        </w:rPr>
        <w:t>of the Institution</w:t>
      </w:r>
      <w:r w:rsidRPr="00F62778" w:rsidR="005D4ADA">
        <w:rPr>
          <w:rFonts w:ascii="Calibri" w:hAnsi="Calibri" w:cs="Calibri"/>
          <w:sz w:val="22"/>
          <w:szCs w:val="22"/>
        </w:rPr>
        <w:t xml:space="preserve"> to share the</w:t>
      </w:r>
      <w:r w:rsidRPr="00F62778" w:rsidR="005E49A4">
        <w:rPr>
          <w:rFonts w:ascii="Calibri" w:hAnsi="Calibri" w:cs="Calibri"/>
          <w:sz w:val="22"/>
          <w:szCs w:val="22"/>
        </w:rPr>
        <w:t xml:space="preserve"> </w:t>
      </w:r>
      <w:r w:rsidRPr="00F62778">
        <w:rPr>
          <w:rFonts w:ascii="Calibri" w:hAnsi="Calibri" w:cs="Calibri"/>
          <w:sz w:val="22"/>
          <w:szCs w:val="22"/>
        </w:rPr>
        <w:t xml:space="preserve">contents of </w:t>
      </w:r>
      <w:r w:rsidRPr="00F62778" w:rsidR="00E72D65">
        <w:rPr>
          <w:rFonts w:ascii="Calibri" w:hAnsi="Calibri" w:cs="Calibri"/>
          <w:sz w:val="22"/>
          <w:szCs w:val="22"/>
        </w:rPr>
        <w:t>external</w:t>
      </w:r>
      <w:r w:rsidRPr="00F62778">
        <w:rPr>
          <w:rFonts w:ascii="Calibri" w:hAnsi="Calibri" w:cs="Calibri"/>
          <w:sz w:val="22"/>
          <w:szCs w:val="22"/>
        </w:rPr>
        <w:t xml:space="preserve"> examiner reports with student representatives usually </w:t>
      </w:r>
      <w:r w:rsidRPr="00F62778" w:rsidR="005D4ADA">
        <w:rPr>
          <w:rFonts w:ascii="Calibri" w:hAnsi="Calibri" w:cs="Calibri"/>
          <w:sz w:val="22"/>
          <w:szCs w:val="22"/>
        </w:rPr>
        <w:t>by</w:t>
      </w:r>
      <w:r w:rsidRPr="00F62778">
        <w:rPr>
          <w:rFonts w:ascii="Calibri" w:hAnsi="Calibri" w:cs="Calibri"/>
          <w:sz w:val="22"/>
          <w:szCs w:val="22"/>
        </w:rPr>
        <w:t xml:space="preserve"> </w:t>
      </w:r>
      <w:r w:rsidRPr="00F62778" w:rsidR="005D4ADA">
        <w:rPr>
          <w:rFonts w:ascii="Calibri" w:hAnsi="Calibri" w:cs="Calibri"/>
          <w:sz w:val="22"/>
          <w:szCs w:val="22"/>
        </w:rPr>
        <w:t>including</w:t>
      </w:r>
      <w:r w:rsidRPr="00F62778">
        <w:rPr>
          <w:rFonts w:ascii="Calibri" w:hAnsi="Calibri" w:cs="Calibri"/>
          <w:sz w:val="22"/>
          <w:szCs w:val="22"/>
        </w:rPr>
        <w:t xml:space="preserve"> </w:t>
      </w:r>
      <w:r w:rsidRPr="00F62778" w:rsidR="00F82F6E">
        <w:rPr>
          <w:rFonts w:ascii="Calibri" w:hAnsi="Calibri" w:cs="Calibri"/>
          <w:sz w:val="22"/>
          <w:szCs w:val="22"/>
        </w:rPr>
        <w:t xml:space="preserve">external </w:t>
      </w:r>
      <w:r w:rsidRPr="00F62778">
        <w:rPr>
          <w:rFonts w:ascii="Calibri" w:hAnsi="Calibri" w:cs="Calibri"/>
          <w:sz w:val="22"/>
          <w:szCs w:val="22"/>
        </w:rPr>
        <w:t>examiner reports in Course Committee agenda papers</w:t>
      </w:r>
      <w:r w:rsidRPr="00F62778" w:rsidR="005D4ADA">
        <w:rPr>
          <w:rFonts w:ascii="Calibri" w:hAnsi="Calibri" w:cs="Calibri"/>
          <w:sz w:val="22"/>
          <w:szCs w:val="22"/>
        </w:rPr>
        <w:t>. In the case of the MBBS</w:t>
      </w:r>
      <w:r w:rsidRPr="00F62778" w:rsidR="00BB2DB0">
        <w:rPr>
          <w:rFonts w:ascii="Calibri" w:hAnsi="Calibri" w:cs="Calibri"/>
          <w:sz w:val="22"/>
          <w:szCs w:val="22"/>
        </w:rPr>
        <w:t xml:space="preserve"> programmes</w:t>
      </w:r>
      <w:r w:rsidRPr="00F62778" w:rsidR="005D4ADA">
        <w:rPr>
          <w:rFonts w:ascii="Calibri" w:hAnsi="Calibri" w:cs="Calibri"/>
          <w:sz w:val="22"/>
          <w:szCs w:val="22"/>
        </w:rPr>
        <w:t xml:space="preserve">, reports may be considered by </w:t>
      </w:r>
      <w:r w:rsidRPr="00F62778" w:rsidR="00DF01D0">
        <w:rPr>
          <w:rFonts w:ascii="Calibri" w:hAnsi="Calibri" w:cs="Calibri"/>
          <w:sz w:val="22"/>
          <w:szCs w:val="22"/>
        </w:rPr>
        <w:t>MAC</w:t>
      </w:r>
      <w:r w:rsidRPr="00F62778" w:rsidR="005D4ADA">
        <w:rPr>
          <w:rFonts w:ascii="Calibri" w:hAnsi="Calibri" w:cs="Calibri"/>
          <w:sz w:val="22"/>
          <w:szCs w:val="22"/>
        </w:rPr>
        <w:t xml:space="preserve">. The inclusion of reports may be delayed until such time as the response to issues raised in the reports has been agreed.  </w:t>
      </w:r>
    </w:p>
    <w:p w:rsidRPr="00F62778" w:rsidR="00D36ABD" w:rsidP="00D36ABD" w:rsidRDefault="00D36ABD" w14:paraId="23598092" w14:textId="77777777">
      <w:pPr>
        <w:ind w:left="360"/>
        <w:rPr>
          <w:rFonts w:ascii="Calibri" w:hAnsi="Calibri" w:cs="Calibri"/>
          <w:sz w:val="22"/>
          <w:szCs w:val="22"/>
        </w:rPr>
      </w:pPr>
    </w:p>
    <w:p w:rsidRPr="00F62778" w:rsidR="00DF01D0" w:rsidP="00DF01D0" w:rsidRDefault="00DF01D0" w14:paraId="3BA617F6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Individual students can ask to see reports at any</w:t>
      </w:r>
      <w:r w:rsidRPr="00F62778" w:rsidR="00D36ABD">
        <w:rPr>
          <w:rFonts w:ascii="Calibri" w:hAnsi="Calibri" w:cs="Calibri"/>
          <w:sz w:val="22"/>
          <w:szCs w:val="22"/>
        </w:rPr>
        <w:t xml:space="preserve"> time. Student</w:t>
      </w:r>
      <w:r w:rsidRPr="00F62778">
        <w:rPr>
          <w:rFonts w:ascii="Calibri" w:hAnsi="Calibri" w:cs="Calibri"/>
          <w:sz w:val="22"/>
          <w:szCs w:val="22"/>
        </w:rPr>
        <w:t xml:space="preserve"> entitlements to receive reports will be published on the exams page on the portal.</w:t>
      </w:r>
    </w:p>
    <w:p w:rsidRPr="00F62778" w:rsidR="005B1B27" w:rsidRDefault="005B1B27" w14:paraId="6DF217AC" w14:textId="77777777">
      <w:pPr>
        <w:rPr>
          <w:rFonts w:ascii="Calibri" w:hAnsi="Calibri" w:cs="Calibri"/>
          <w:sz w:val="22"/>
          <w:szCs w:val="22"/>
        </w:rPr>
      </w:pPr>
    </w:p>
    <w:p w:rsidRPr="00F62778" w:rsidR="005B1B27" w:rsidRDefault="005B1B27" w14:paraId="7B83237B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>Monitoring committee</w:t>
      </w:r>
    </w:p>
    <w:p w:rsidRPr="00F62778" w:rsidR="005B1B27" w:rsidRDefault="005B1B27" w14:paraId="70F52B94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P="00D36ABD" w:rsidRDefault="005B1B27" w14:paraId="0895BD63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If it is the policy of the monitoring</w:t>
      </w:r>
      <w:r w:rsidRPr="00F62778" w:rsidR="005E49A4">
        <w:rPr>
          <w:rFonts w:ascii="Calibri" w:hAnsi="Calibri" w:cs="Calibri"/>
          <w:sz w:val="22"/>
          <w:szCs w:val="22"/>
        </w:rPr>
        <w:t xml:space="preserve"> committee, </w:t>
      </w:r>
      <w:r w:rsidRPr="00F62778" w:rsidR="00E72D65">
        <w:rPr>
          <w:rFonts w:ascii="Calibri" w:hAnsi="Calibri" w:cs="Calibri"/>
          <w:sz w:val="22"/>
          <w:szCs w:val="22"/>
        </w:rPr>
        <w:t>external</w:t>
      </w:r>
      <w:r w:rsidRPr="00F62778" w:rsidR="005E49A4">
        <w:rPr>
          <w:rFonts w:ascii="Calibri" w:hAnsi="Calibri" w:cs="Calibri"/>
          <w:sz w:val="22"/>
          <w:szCs w:val="22"/>
        </w:rPr>
        <w:t xml:space="preserve"> examiner reports will be included on receipt in the agenda papers for the next meeting of the committee (or its sub-committee). </w:t>
      </w:r>
    </w:p>
    <w:p w:rsidRPr="00F62778" w:rsidR="005E49A4" w:rsidRDefault="005E49A4" w14:paraId="738F32BD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P="00D36ABD" w:rsidRDefault="00E72D65" w14:paraId="579A6A34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External</w:t>
      </w:r>
      <w:r w:rsidRPr="00F62778" w:rsidR="005E49A4">
        <w:rPr>
          <w:rFonts w:ascii="Calibri" w:hAnsi="Calibri" w:cs="Calibri"/>
          <w:sz w:val="22"/>
          <w:szCs w:val="22"/>
        </w:rPr>
        <w:t xml:space="preserve"> examiner reports will be appended to the annual monitoring report for the course (or part of course) when the monitoring report is submitted for committee approval.</w:t>
      </w:r>
    </w:p>
    <w:p w:rsidRPr="00F62778" w:rsidR="005E49A4" w:rsidRDefault="005E49A4" w14:paraId="59E93C4F" w14:textId="77777777">
      <w:pPr>
        <w:rPr>
          <w:rFonts w:ascii="Calibri" w:hAnsi="Calibri" w:cs="Calibri"/>
          <w:sz w:val="22"/>
          <w:szCs w:val="22"/>
        </w:rPr>
      </w:pPr>
    </w:p>
    <w:p w:rsidRPr="00F62778" w:rsidR="005D4ADA" w:rsidP="005D4ADA" w:rsidRDefault="005D4ADA" w14:paraId="63BB805C" w14:textId="77777777">
      <w:pPr>
        <w:rPr>
          <w:rFonts w:ascii="Calibri" w:hAnsi="Calibri" w:cs="Calibri"/>
          <w:b/>
          <w:sz w:val="22"/>
          <w:szCs w:val="22"/>
        </w:rPr>
      </w:pPr>
      <w:r w:rsidRPr="00F62778">
        <w:rPr>
          <w:rFonts w:ascii="Calibri" w:hAnsi="Calibri" w:cs="Calibri"/>
          <w:b/>
          <w:sz w:val="22"/>
          <w:szCs w:val="22"/>
        </w:rPr>
        <w:t xml:space="preserve">Personal data </w:t>
      </w:r>
    </w:p>
    <w:p w:rsidRPr="00F62778" w:rsidR="005D4ADA" w:rsidP="005D4ADA" w:rsidRDefault="005D4ADA" w14:paraId="2B382536" w14:textId="77777777">
      <w:pPr>
        <w:rPr>
          <w:rFonts w:ascii="Calibri" w:hAnsi="Calibri" w:cs="Calibri"/>
          <w:sz w:val="22"/>
          <w:szCs w:val="22"/>
        </w:rPr>
      </w:pPr>
    </w:p>
    <w:p w:rsidRPr="00F62778" w:rsidR="005D4ADA" w:rsidP="00D36ABD" w:rsidRDefault="005D4ADA" w14:paraId="23F84FA7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Any personal data relating to </w:t>
      </w:r>
      <w:r w:rsidRPr="00F62778" w:rsidR="00201655">
        <w:rPr>
          <w:rFonts w:ascii="Calibri" w:hAnsi="Calibri" w:cs="Calibri"/>
          <w:sz w:val="22"/>
          <w:szCs w:val="22"/>
        </w:rPr>
        <w:t>an</w:t>
      </w:r>
      <w:r w:rsidRPr="00F62778">
        <w:rPr>
          <w:rFonts w:ascii="Calibri" w:hAnsi="Calibri" w:cs="Calibri"/>
          <w:sz w:val="22"/>
          <w:szCs w:val="22"/>
        </w:rPr>
        <w:t xml:space="preserve"> </w:t>
      </w:r>
      <w:r w:rsidRPr="00F62778" w:rsidR="00E72D65">
        <w:rPr>
          <w:rFonts w:ascii="Calibri" w:hAnsi="Calibri" w:cs="Calibri"/>
          <w:sz w:val="22"/>
          <w:szCs w:val="22"/>
        </w:rPr>
        <w:t>External</w:t>
      </w:r>
      <w:r w:rsidRPr="00F62778">
        <w:rPr>
          <w:rFonts w:ascii="Calibri" w:hAnsi="Calibri" w:cs="Calibri"/>
          <w:sz w:val="22"/>
          <w:szCs w:val="22"/>
        </w:rPr>
        <w:t xml:space="preserve"> Examiner (e.g. the National Insurance number and home address of the Examiner) must be obscured before the report is distributed. </w:t>
      </w:r>
    </w:p>
    <w:p w:rsidRPr="00F62778" w:rsidR="005D4ADA" w:rsidRDefault="005D4ADA" w14:paraId="081474A4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RDefault="005E49A4" w14:paraId="13CB692F" w14:textId="77777777">
      <w:pPr>
        <w:pStyle w:val="Heading4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Tracking</w:t>
      </w:r>
    </w:p>
    <w:p w:rsidRPr="00F62778" w:rsidR="005E49A4" w:rsidRDefault="005E49A4" w14:paraId="7D8EECFD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P="00D36ABD" w:rsidRDefault="005E49A4" w14:paraId="6F269999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The nominated registry officer will maintain a</w:t>
      </w:r>
      <w:r w:rsidRPr="00F62778" w:rsidR="00D36ABD">
        <w:rPr>
          <w:rFonts w:ascii="Calibri" w:hAnsi="Calibri" w:cs="Calibri"/>
          <w:sz w:val="22"/>
          <w:szCs w:val="22"/>
        </w:rPr>
        <w:t>n</w:t>
      </w:r>
      <w:r w:rsidRPr="00F62778">
        <w:rPr>
          <w:rFonts w:ascii="Calibri" w:hAnsi="Calibri" w:cs="Calibri"/>
          <w:sz w:val="22"/>
          <w:szCs w:val="22"/>
        </w:rPr>
        <w:t xml:space="preserve"> </w:t>
      </w:r>
      <w:r w:rsidRPr="00F62778" w:rsidR="00D36ABD">
        <w:rPr>
          <w:rFonts w:ascii="Calibri" w:hAnsi="Calibri" w:cs="Calibri"/>
          <w:sz w:val="22"/>
          <w:szCs w:val="22"/>
        </w:rPr>
        <w:t xml:space="preserve">External Examiners Log </w:t>
      </w:r>
      <w:r w:rsidRPr="00F62778">
        <w:rPr>
          <w:rFonts w:ascii="Calibri" w:hAnsi="Calibri" w:cs="Calibri"/>
          <w:sz w:val="22"/>
          <w:szCs w:val="22"/>
        </w:rPr>
        <w:t>for each academic year that includes the following:</w:t>
      </w:r>
    </w:p>
    <w:p w:rsidRPr="00F62778" w:rsidR="005E49A4" w:rsidRDefault="005E49A4" w14:paraId="36DF6DCE" w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Date of despatch of blank report form to examiner,</w:t>
      </w:r>
    </w:p>
    <w:p w:rsidRPr="00F62778" w:rsidR="005E49A4" w:rsidRDefault="005E49A4" w14:paraId="34844EFB" w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Receipt of completed report,</w:t>
      </w:r>
    </w:p>
    <w:p w:rsidRPr="00F62778" w:rsidR="005E49A4" w:rsidRDefault="005E49A4" w14:paraId="52D6B02D" w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The person to whom the report has been passed for information or for action,</w:t>
      </w:r>
    </w:p>
    <w:p w:rsidRPr="00F62778" w:rsidR="005E49A4" w:rsidRDefault="005E49A4" w14:paraId="113182A5" w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Confirmation that a response has been made.  </w:t>
      </w:r>
    </w:p>
    <w:p w:rsidRPr="00F62778" w:rsidR="00795445" w:rsidRDefault="00795445" w14:paraId="336DB4AE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RDefault="005E49A4" w14:paraId="12B94EA8" w14:textId="77777777">
      <w:pPr>
        <w:pStyle w:val="Heading4"/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>Annual report</w:t>
      </w:r>
    </w:p>
    <w:p w:rsidRPr="00F62778" w:rsidR="005E49A4" w:rsidRDefault="005E49A4" w14:paraId="6A0B3588" w14:textId="77777777">
      <w:pPr>
        <w:rPr>
          <w:rFonts w:ascii="Calibri" w:hAnsi="Calibri" w:cs="Calibri"/>
          <w:sz w:val="22"/>
          <w:szCs w:val="22"/>
        </w:rPr>
      </w:pPr>
    </w:p>
    <w:p w:rsidRPr="00F62778" w:rsidR="005E49A4" w:rsidP="00D36ABD" w:rsidRDefault="005E49A4" w14:paraId="4B118C94" w14:textId="7777777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F62778">
        <w:rPr>
          <w:rFonts w:ascii="Calibri" w:hAnsi="Calibri" w:cs="Calibri"/>
          <w:sz w:val="22"/>
          <w:szCs w:val="22"/>
        </w:rPr>
        <w:t xml:space="preserve">The </w:t>
      </w:r>
      <w:r w:rsidRPr="00F62778" w:rsidR="00492BB8">
        <w:rPr>
          <w:rFonts w:ascii="Calibri" w:hAnsi="Calibri" w:cs="Calibri"/>
          <w:sz w:val="22"/>
          <w:szCs w:val="22"/>
        </w:rPr>
        <w:t>Director of Quality and Partnerships</w:t>
      </w:r>
      <w:r w:rsidRPr="00F62778" w:rsidR="00D36ABD">
        <w:rPr>
          <w:rFonts w:ascii="Calibri" w:hAnsi="Calibri" w:cs="Calibri"/>
          <w:sz w:val="22"/>
          <w:szCs w:val="22"/>
        </w:rPr>
        <w:t xml:space="preserve"> </w:t>
      </w:r>
      <w:r w:rsidRPr="00F62778">
        <w:rPr>
          <w:rFonts w:ascii="Calibri" w:hAnsi="Calibri" w:cs="Calibri"/>
          <w:sz w:val="22"/>
          <w:szCs w:val="22"/>
        </w:rPr>
        <w:t xml:space="preserve">will </w:t>
      </w:r>
      <w:r w:rsidRPr="00F62778" w:rsidR="00D36ABD">
        <w:rPr>
          <w:rFonts w:ascii="Calibri" w:hAnsi="Calibri" w:cs="Calibri"/>
          <w:sz w:val="22"/>
          <w:szCs w:val="22"/>
        </w:rPr>
        <w:t>prepare</w:t>
      </w:r>
      <w:r w:rsidRPr="00F62778">
        <w:rPr>
          <w:rFonts w:ascii="Calibri" w:hAnsi="Calibri" w:cs="Calibri"/>
          <w:sz w:val="22"/>
          <w:szCs w:val="22"/>
        </w:rPr>
        <w:t xml:space="preserve"> an annual summary report of </w:t>
      </w:r>
      <w:r w:rsidRPr="00F62778" w:rsidR="00F82F6E">
        <w:rPr>
          <w:rFonts w:ascii="Calibri" w:hAnsi="Calibri" w:cs="Calibri"/>
          <w:sz w:val="22"/>
          <w:szCs w:val="22"/>
        </w:rPr>
        <w:t xml:space="preserve">external </w:t>
      </w:r>
      <w:r w:rsidRPr="00F62778">
        <w:rPr>
          <w:rFonts w:ascii="Calibri" w:hAnsi="Calibri" w:cs="Calibri"/>
          <w:sz w:val="22"/>
          <w:szCs w:val="22"/>
        </w:rPr>
        <w:t>examiner reports</w:t>
      </w:r>
      <w:r w:rsidRPr="00F62778" w:rsidR="00A950AB">
        <w:rPr>
          <w:rFonts w:ascii="Calibri" w:hAnsi="Calibri" w:cs="Calibri"/>
          <w:sz w:val="22"/>
          <w:szCs w:val="22"/>
        </w:rPr>
        <w:t xml:space="preserve"> based on issues raised in external examiners’ reports and data in the</w:t>
      </w:r>
      <w:r w:rsidRPr="00F62778" w:rsidR="00D36ABD">
        <w:rPr>
          <w:rFonts w:ascii="Calibri" w:hAnsi="Calibri" w:cs="Calibri"/>
          <w:sz w:val="22"/>
          <w:szCs w:val="22"/>
        </w:rPr>
        <w:t xml:space="preserve"> External Examiners Log.</w:t>
      </w:r>
      <w:r w:rsidRPr="00F62778">
        <w:rPr>
          <w:rFonts w:ascii="Calibri" w:hAnsi="Calibri" w:cs="Calibri"/>
          <w:sz w:val="22"/>
          <w:szCs w:val="22"/>
        </w:rPr>
        <w:t xml:space="preserve">  The report, prepared in September to cover reports submitted in the previous calendar year</w:t>
      </w:r>
      <w:r w:rsidRPr="00F62778" w:rsidR="00451CDB">
        <w:rPr>
          <w:rFonts w:ascii="Calibri" w:hAnsi="Calibri" w:cs="Calibri"/>
          <w:sz w:val="22"/>
          <w:szCs w:val="22"/>
        </w:rPr>
        <w:t xml:space="preserve"> (to allow undergraduate and postgraduate reports to be considered at the same time)</w:t>
      </w:r>
      <w:r w:rsidRPr="00F62778">
        <w:rPr>
          <w:rFonts w:ascii="Calibri" w:hAnsi="Calibri" w:cs="Calibri"/>
          <w:sz w:val="22"/>
          <w:szCs w:val="22"/>
        </w:rPr>
        <w:t xml:space="preserve">, will be submitted to </w:t>
      </w:r>
      <w:r w:rsidRPr="00F62778" w:rsidR="00D36ABD">
        <w:rPr>
          <w:rFonts w:ascii="Calibri" w:hAnsi="Calibri" w:cs="Calibri"/>
          <w:sz w:val="22"/>
          <w:szCs w:val="22"/>
        </w:rPr>
        <w:t>QAEC</w:t>
      </w:r>
      <w:r w:rsidRPr="00F62778">
        <w:rPr>
          <w:rFonts w:ascii="Calibri" w:hAnsi="Calibri" w:cs="Calibri"/>
          <w:sz w:val="22"/>
          <w:szCs w:val="22"/>
        </w:rPr>
        <w:t>.</w:t>
      </w:r>
      <w:r w:rsidRPr="00F62778" w:rsidR="00D36ABD">
        <w:rPr>
          <w:rFonts w:ascii="Calibri" w:hAnsi="Calibri" w:cs="Calibri"/>
          <w:sz w:val="22"/>
          <w:szCs w:val="22"/>
        </w:rPr>
        <w:t xml:space="preserve"> </w:t>
      </w:r>
    </w:p>
    <w:p w:rsidRPr="005D51E9" w:rsidR="005E49A4" w:rsidRDefault="005E49A4" w14:paraId="7B4AF25D" w14:textId="77777777">
      <w:pPr>
        <w:rPr>
          <w:rFonts w:ascii="Calibri" w:hAnsi="Calibri" w:cs="Calibri"/>
          <w:sz w:val="22"/>
          <w:szCs w:val="22"/>
        </w:rPr>
      </w:pPr>
    </w:p>
    <w:p w:rsidRPr="005D51E9" w:rsidR="005E49A4" w:rsidRDefault="005E49A4" w14:paraId="0540C982" w14:textId="77777777">
      <w:pPr>
        <w:rPr>
          <w:rFonts w:ascii="Calibri" w:hAnsi="Calibri" w:cs="Calibri"/>
          <w:sz w:val="22"/>
          <w:szCs w:val="22"/>
        </w:rPr>
      </w:pPr>
    </w:p>
    <w:sectPr w:rsidRPr="005D51E9" w:rsidR="005E49A4" w:rsidSect="00F27A01">
      <w:headerReference w:type="default" r:id="rId7"/>
      <w:footerReference w:type="default" r:id="rId8"/>
      <w:pgSz w:w="11906" w:h="16838"/>
      <w:pgMar w:top="900" w:right="1106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72B3" w14:textId="77777777" w:rsidR="00DE1B21" w:rsidRDefault="00DE1B21">
      <w:r>
        <w:separator/>
      </w:r>
    </w:p>
  </w:endnote>
  <w:endnote w:type="continuationSeparator" w:id="0">
    <w:p w14:paraId="75374C5B" w14:textId="77777777" w:rsidR="00DE1B21" w:rsidRDefault="00DE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C320" w14:textId="77777777" w:rsidR="00653D22" w:rsidRDefault="00653D22" w:rsidP="00F82F6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1B3F">
      <w:rPr>
        <w:noProof/>
      </w:rPr>
      <w:t>3</w:t>
    </w:r>
    <w:r>
      <w:rPr>
        <w:noProof/>
      </w:rPr>
      <w:fldChar w:fldCharType="end"/>
    </w:r>
    <w:r>
      <w:t xml:space="preserve"> | </w:t>
    </w:r>
    <w:r w:rsidRPr="00F82F6E">
      <w:rPr>
        <w:color w:val="808080"/>
        <w:spacing w:val="60"/>
      </w:rPr>
      <w:t>Page</w:t>
    </w:r>
  </w:p>
  <w:p w14:paraId="13767473" w14:textId="77777777" w:rsidR="00653D22" w:rsidRDefault="0065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6ACB" w14:textId="77777777" w:rsidR="00DE1B21" w:rsidRDefault="00DE1B21">
      <w:r>
        <w:separator/>
      </w:r>
    </w:p>
  </w:footnote>
  <w:footnote w:type="continuationSeparator" w:id="0">
    <w:p w14:paraId="78AE9A19" w14:textId="77777777" w:rsidR="00DE1B21" w:rsidRDefault="00DE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2A6B" w14:textId="77777777" w:rsidR="00653D22" w:rsidRDefault="00653D22" w:rsidP="008519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871E2"/>
    <w:multiLevelType w:val="multilevel"/>
    <w:tmpl w:val="2D464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4133D"/>
    <w:multiLevelType w:val="hybridMultilevel"/>
    <w:tmpl w:val="A37C3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D57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D1FE7"/>
    <w:multiLevelType w:val="multilevel"/>
    <w:tmpl w:val="21003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2B5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C33C5C"/>
    <w:multiLevelType w:val="multilevel"/>
    <w:tmpl w:val="89064E9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7" w15:restartNumberingAfterBreak="0">
    <w:nsid w:val="63870D2C"/>
    <w:multiLevelType w:val="multilevel"/>
    <w:tmpl w:val="21003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9300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484206">
    <w:abstractNumId w:val="3"/>
  </w:num>
  <w:num w:numId="2" w16cid:durableId="1395154912">
    <w:abstractNumId w:val="0"/>
  </w:num>
  <w:num w:numId="3" w16cid:durableId="1845511372">
    <w:abstractNumId w:val="5"/>
  </w:num>
  <w:num w:numId="4" w16cid:durableId="2074543834">
    <w:abstractNumId w:val="9"/>
  </w:num>
  <w:num w:numId="5" w16cid:durableId="2096397037">
    <w:abstractNumId w:val="8"/>
  </w:num>
  <w:num w:numId="6" w16cid:durableId="937712808">
    <w:abstractNumId w:val="1"/>
  </w:num>
  <w:num w:numId="7" w16cid:durableId="1895778170">
    <w:abstractNumId w:val="2"/>
  </w:num>
  <w:num w:numId="8" w16cid:durableId="1696232787">
    <w:abstractNumId w:val="6"/>
  </w:num>
  <w:num w:numId="9" w16cid:durableId="1099720910">
    <w:abstractNumId w:val="4"/>
  </w:num>
  <w:num w:numId="10" w16cid:durableId="2068260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448"/>
    <w:rsid w:val="00002114"/>
    <w:rsid w:val="000944F6"/>
    <w:rsid w:val="0019668A"/>
    <w:rsid w:val="001966ED"/>
    <w:rsid w:val="00201655"/>
    <w:rsid w:val="0023209F"/>
    <w:rsid w:val="002777E6"/>
    <w:rsid w:val="002862B7"/>
    <w:rsid w:val="002E2DDA"/>
    <w:rsid w:val="00304E52"/>
    <w:rsid w:val="00377FE3"/>
    <w:rsid w:val="003A7EA5"/>
    <w:rsid w:val="003F11EF"/>
    <w:rsid w:val="0042448F"/>
    <w:rsid w:val="00451CDB"/>
    <w:rsid w:val="00457372"/>
    <w:rsid w:val="004621DB"/>
    <w:rsid w:val="00465808"/>
    <w:rsid w:val="004832FF"/>
    <w:rsid w:val="00492BB8"/>
    <w:rsid w:val="004F696E"/>
    <w:rsid w:val="00506720"/>
    <w:rsid w:val="0057394B"/>
    <w:rsid w:val="005B1B27"/>
    <w:rsid w:val="005C09B4"/>
    <w:rsid w:val="005D4ADA"/>
    <w:rsid w:val="005D51E9"/>
    <w:rsid w:val="005E2F84"/>
    <w:rsid w:val="005E49A4"/>
    <w:rsid w:val="006063E4"/>
    <w:rsid w:val="006064D6"/>
    <w:rsid w:val="0062779C"/>
    <w:rsid w:val="00653D22"/>
    <w:rsid w:val="0066563A"/>
    <w:rsid w:val="00676BC7"/>
    <w:rsid w:val="006A4468"/>
    <w:rsid w:val="006C4E51"/>
    <w:rsid w:val="006E6508"/>
    <w:rsid w:val="00726972"/>
    <w:rsid w:val="00781042"/>
    <w:rsid w:val="0079289F"/>
    <w:rsid w:val="00795445"/>
    <w:rsid w:val="00806134"/>
    <w:rsid w:val="008062E8"/>
    <w:rsid w:val="00820E8B"/>
    <w:rsid w:val="008478D5"/>
    <w:rsid w:val="00851957"/>
    <w:rsid w:val="008B24F2"/>
    <w:rsid w:val="008B5448"/>
    <w:rsid w:val="0099177D"/>
    <w:rsid w:val="00995F98"/>
    <w:rsid w:val="009A51CF"/>
    <w:rsid w:val="009A7063"/>
    <w:rsid w:val="009A77F3"/>
    <w:rsid w:val="009B5CD4"/>
    <w:rsid w:val="009E286F"/>
    <w:rsid w:val="00A35153"/>
    <w:rsid w:val="00A950AB"/>
    <w:rsid w:val="00A95656"/>
    <w:rsid w:val="00AF4DBA"/>
    <w:rsid w:val="00B22AF3"/>
    <w:rsid w:val="00B239AD"/>
    <w:rsid w:val="00BB2DB0"/>
    <w:rsid w:val="00BD54E0"/>
    <w:rsid w:val="00BE2368"/>
    <w:rsid w:val="00C542C0"/>
    <w:rsid w:val="00C70F20"/>
    <w:rsid w:val="00CA0EE3"/>
    <w:rsid w:val="00D0343B"/>
    <w:rsid w:val="00D21B3F"/>
    <w:rsid w:val="00D36ABD"/>
    <w:rsid w:val="00D923D6"/>
    <w:rsid w:val="00DC498F"/>
    <w:rsid w:val="00DE1B21"/>
    <w:rsid w:val="00DE54C4"/>
    <w:rsid w:val="00DF01D0"/>
    <w:rsid w:val="00E1681C"/>
    <w:rsid w:val="00E72D65"/>
    <w:rsid w:val="00EA7DA1"/>
    <w:rsid w:val="00EC730C"/>
    <w:rsid w:val="00F27A01"/>
    <w:rsid w:val="00F62700"/>
    <w:rsid w:val="00F62778"/>
    <w:rsid w:val="00F73A5C"/>
    <w:rsid w:val="00F82F6E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9C85E"/>
  <w15:chartTrackingRefBased/>
  <w15:docId w15:val="{A5621EA7-63B4-4D36-A901-49328C0C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AD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9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195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72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E72D65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82F6E"/>
    <w:rPr>
      <w:lang w:eastAsia="en-US"/>
    </w:rPr>
  </w:style>
  <w:style w:type="table" w:styleId="TableGrid">
    <w:name w:val="Table Grid"/>
    <w:basedOn w:val="TableNormal"/>
    <w:rsid w:val="00D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D36A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36A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36A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Grid-Accent4">
    <w:name w:val="Light Grid Accent 4"/>
    <w:basedOn w:val="TableNormal"/>
    <w:uiPriority w:val="62"/>
    <w:rsid w:val="00D36AB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ListParagraph">
    <w:name w:val="List Paragraph"/>
    <w:basedOn w:val="Normal"/>
    <w:uiPriority w:val="34"/>
    <w:qFormat/>
    <w:rsid w:val="004832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responding to visiting examiner reports</vt:lpstr>
    </vt:vector>
  </TitlesOfParts>
  <Company>St. George's Medical School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I1 EE reports procedures</dc:title>
  <dc:subject>
  </dc:subject>
  <dc:creator>Registry</dc:creator>
  <cp:keywords>
  </cp:keywords>
  <cp:lastModifiedBy>Giulia Sparacino</cp:lastModifiedBy>
  <cp:revision>2</cp:revision>
  <cp:lastPrinted>2009-10-16T13:21:00Z</cp:lastPrinted>
  <dcterms:created xsi:type="dcterms:W3CDTF">2023-09-13T12:38:00Z</dcterms:created>
  <dcterms:modified xsi:type="dcterms:W3CDTF">2024-08-01T13:15:59Z</dcterms:modified>
</cp:coreProperties>
</file>